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tblpXSpec="center" w:tblpY="3766"/>
        <w:tblW w:w="1049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1504"/>
        <w:gridCol w:w="8162"/>
      </w:tblGrid>
      <w:tr w:rsidR="006109D2" w:rsidRPr="006B02DA" w:rsidTr="006109D2">
        <w:trPr>
          <w:trHeight w:val="315"/>
        </w:trPr>
        <w:tc>
          <w:tcPr>
            <w:tcW w:w="8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02DA" w:rsidRPr="006B02DA" w:rsidRDefault="006B02DA" w:rsidP="006B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Madde No</w:t>
            </w:r>
          </w:p>
        </w:tc>
        <w:tc>
          <w:tcPr>
            <w:tcW w:w="15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02DA" w:rsidRPr="006B02DA" w:rsidRDefault="006B02DA" w:rsidP="006B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Kriter Başlığı</w:t>
            </w:r>
          </w:p>
        </w:tc>
        <w:tc>
          <w:tcPr>
            <w:tcW w:w="8162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B02DA" w:rsidRPr="006B02DA" w:rsidRDefault="006B02DA" w:rsidP="006B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Teknik Detay ve Zorunlu Ölçütler</w:t>
            </w:r>
          </w:p>
        </w:tc>
      </w:tr>
      <w:tr w:rsidR="006109D2" w:rsidRPr="006B02DA" w:rsidTr="006109D2">
        <w:trPr>
          <w:trHeight w:val="315"/>
        </w:trPr>
        <w:tc>
          <w:tcPr>
            <w:tcW w:w="8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02DA" w:rsidRPr="006B02DA" w:rsidRDefault="006B02DA" w:rsidP="006B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1.1</w:t>
            </w:r>
          </w:p>
        </w:tc>
        <w:tc>
          <w:tcPr>
            <w:tcW w:w="15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02DA" w:rsidRPr="006B02DA" w:rsidRDefault="006B02DA" w:rsidP="006B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Ofis ve IT Ekipmanları</w:t>
            </w:r>
          </w:p>
        </w:tc>
        <w:tc>
          <w:tcPr>
            <w:tcW w:w="8162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B02DA" w:rsidRPr="006B02DA" w:rsidRDefault="006109D2" w:rsidP="00DF4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Ofis ve BT </w:t>
            </w:r>
            <w:proofErr w:type="gramStart"/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ekipmanlarında</w:t>
            </w:r>
            <w:proofErr w:type="gramEnd"/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, ilgili ürün grubuna ait güncel ENERGY STAR veya eşdeğer enerji verimliliği/sürdürülebilirlik sertifikası (</w:t>
            </w:r>
            <w:proofErr w:type="spellStart"/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örn</w:t>
            </w:r>
            <w:proofErr w:type="spellEnd"/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. EPEAT) aranmalı; cihazların uyku ve bekleme </w:t>
            </w:r>
            <w:proofErr w:type="spellStart"/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modlarındaki</w:t>
            </w:r>
            <w:proofErr w:type="spellEnd"/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tüketimleri ilgili standardın sınır değerlerini aşmamalıdır.</w:t>
            </w:r>
          </w:p>
        </w:tc>
      </w:tr>
      <w:tr w:rsidR="006109D2" w:rsidRPr="006B02DA" w:rsidTr="006109D2">
        <w:trPr>
          <w:trHeight w:val="315"/>
        </w:trPr>
        <w:tc>
          <w:tcPr>
            <w:tcW w:w="8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02DA" w:rsidRPr="006B02DA" w:rsidRDefault="006B02DA" w:rsidP="006B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1.2</w:t>
            </w:r>
          </w:p>
        </w:tc>
        <w:tc>
          <w:tcPr>
            <w:tcW w:w="15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02DA" w:rsidRPr="006B02DA" w:rsidRDefault="006B02DA" w:rsidP="006B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Elektrik Motorları ve Pompalar</w:t>
            </w:r>
          </w:p>
        </w:tc>
        <w:tc>
          <w:tcPr>
            <w:tcW w:w="8162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B02DA" w:rsidRPr="006B02DA" w:rsidRDefault="00DF4978" w:rsidP="00DF4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Satın alınacak 0,75 kW ve üzeri </w:t>
            </w:r>
            <w:proofErr w:type="gramStart"/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nominal</w:t>
            </w:r>
            <w:proofErr w:type="gramEnd"/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çıkış gücüne sahip elektrik motorları ve pompalar en az IE3 verim sınıfında olmalı; uygun olanlarda IE4 tercih edilmeli, değişken yükte çalışan sistemlerde ise değişken hız sürücüsü ile uyum aranmalıdır.</w:t>
            </w:r>
          </w:p>
        </w:tc>
      </w:tr>
      <w:tr w:rsidR="006109D2" w:rsidRPr="006B02DA" w:rsidTr="006109D2">
        <w:trPr>
          <w:trHeight w:val="315"/>
        </w:trPr>
        <w:tc>
          <w:tcPr>
            <w:tcW w:w="8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02DA" w:rsidRPr="006B02DA" w:rsidRDefault="006B02DA" w:rsidP="006B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1.3</w:t>
            </w:r>
          </w:p>
        </w:tc>
        <w:tc>
          <w:tcPr>
            <w:tcW w:w="15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02DA" w:rsidRPr="006B02DA" w:rsidRDefault="006B02DA" w:rsidP="006B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HVAC ve İklimlendirme</w:t>
            </w:r>
          </w:p>
        </w:tc>
        <w:tc>
          <w:tcPr>
            <w:tcW w:w="8162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B02DA" w:rsidRPr="006B02DA" w:rsidRDefault="00DF4978" w:rsidP="00DF4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Klima ve soğutma gruplarında (</w:t>
            </w:r>
            <w:proofErr w:type="spellStart"/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chiller</w:t>
            </w:r>
            <w:proofErr w:type="spellEnd"/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vb.) ilgili ürün grubunun güncel mevsimsel verimlilik </w:t>
            </w:r>
            <w:proofErr w:type="gramStart"/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kriterleri</w:t>
            </w:r>
            <w:proofErr w:type="gramEnd"/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esas alınmalı; SEER ve SCOP değerleri mümkün olan en yüksek verim seviyesini sağlamalıdır.</w:t>
            </w:r>
          </w:p>
        </w:tc>
      </w:tr>
      <w:tr w:rsidR="006109D2" w:rsidRPr="006B02DA" w:rsidTr="006109D2">
        <w:trPr>
          <w:trHeight w:val="315"/>
        </w:trPr>
        <w:tc>
          <w:tcPr>
            <w:tcW w:w="8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02DA" w:rsidRPr="006B02DA" w:rsidRDefault="006B02DA" w:rsidP="006B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1.4</w:t>
            </w:r>
          </w:p>
        </w:tc>
        <w:tc>
          <w:tcPr>
            <w:tcW w:w="15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02DA" w:rsidRPr="006B02DA" w:rsidRDefault="006B02DA" w:rsidP="006B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Aydınlatma Sistemleri</w:t>
            </w:r>
          </w:p>
        </w:tc>
        <w:tc>
          <w:tcPr>
            <w:tcW w:w="8162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B02DA" w:rsidRPr="006B02DA" w:rsidRDefault="006109D2" w:rsidP="00DF4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LED armatür alımlarında armatür ışıksal verimi asgari </w:t>
            </w:r>
            <w:r w:rsidRPr="00632CED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tr-TR"/>
              </w:rPr>
              <w:t xml:space="preserve">120 </w:t>
            </w:r>
            <w:proofErr w:type="spellStart"/>
            <w:r w:rsidRPr="00632CED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tr-TR"/>
              </w:rPr>
              <w:t>lm</w:t>
            </w:r>
            <w:proofErr w:type="spellEnd"/>
            <w:r w:rsidRPr="00632CED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tr-TR"/>
              </w:rPr>
              <w:t>/W</w:t>
            </w:r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olmalıdır (LM-79 test raporu</w:t>
            </w:r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vb.</w:t>
            </w:r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ile belgelenmiş); bu değerin altındaki teklifler değerlendirme dışı bırakılır. Sürücülerde </w:t>
            </w:r>
            <w:r w:rsidRPr="00632CED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tr-TR"/>
              </w:rPr>
              <w:t>Güm Faktörü (PF) &gt; 0,95</w:t>
            </w:r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ve </w:t>
            </w:r>
            <w:r w:rsidRPr="00632CED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tr-TR"/>
              </w:rPr>
              <w:t>THD &lt; %10</w:t>
            </w:r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şartı aranır; IEC 61347-2-13 veya eşdeğer belgelendirme sunulmalıdır.</w:t>
            </w:r>
          </w:p>
        </w:tc>
      </w:tr>
      <w:tr w:rsidR="006109D2" w:rsidRPr="006B02DA" w:rsidTr="006109D2">
        <w:trPr>
          <w:trHeight w:val="315"/>
        </w:trPr>
        <w:tc>
          <w:tcPr>
            <w:tcW w:w="8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02DA" w:rsidRPr="006B02DA" w:rsidRDefault="006B02DA" w:rsidP="006B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2</w:t>
            </w:r>
          </w:p>
        </w:tc>
        <w:tc>
          <w:tcPr>
            <w:tcW w:w="15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02DA" w:rsidRPr="006B02DA" w:rsidRDefault="006B02DA" w:rsidP="006B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Yaşam Döngüsü Maliyeti</w:t>
            </w:r>
          </w:p>
        </w:tc>
        <w:tc>
          <w:tcPr>
            <w:tcW w:w="8162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B02DA" w:rsidRPr="006B02DA" w:rsidRDefault="006B02DA" w:rsidP="00DF4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Satın alma kararında; cihazın ömrü boyunca tüketeceği enerjinin maliyeti, ilk satın alma bedeli ile birlikte analiz edilerek "En Düşük Toplam Sahip Olma Maliyeti" esas alınmalıdır.</w:t>
            </w:r>
          </w:p>
        </w:tc>
      </w:tr>
      <w:tr w:rsidR="006109D2" w:rsidRPr="006B02DA" w:rsidTr="006109D2">
        <w:trPr>
          <w:trHeight w:val="315"/>
        </w:trPr>
        <w:tc>
          <w:tcPr>
            <w:tcW w:w="8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02DA" w:rsidRPr="006B02DA" w:rsidRDefault="006B02DA" w:rsidP="006B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3</w:t>
            </w:r>
          </w:p>
        </w:tc>
        <w:tc>
          <w:tcPr>
            <w:tcW w:w="15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02DA" w:rsidRPr="006B02DA" w:rsidRDefault="006D49D6" w:rsidP="006B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</w:t>
            </w:r>
            <w:r w:rsidR="002C622F"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Teknik Standart Uyumu</w:t>
            </w:r>
          </w:p>
        </w:tc>
        <w:tc>
          <w:tcPr>
            <w:tcW w:w="8162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B02DA" w:rsidRPr="006B02DA" w:rsidRDefault="002C622F" w:rsidP="00DF4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Ürünlerin, yürürlükteki </w:t>
            </w:r>
            <w:proofErr w:type="spellStart"/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Ecodesign</w:t>
            </w:r>
            <w:proofErr w:type="spellEnd"/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mevzuatına ve ilgili ürün düzenlemelerine (</w:t>
            </w:r>
            <w:proofErr w:type="spellStart"/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örn</w:t>
            </w:r>
            <w:proofErr w:type="spellEnd"/>
            <w:r w:rsidRPr="00632CE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. motorlar ve sürücüler için EU 2019/1781) uygunluğu teknik şartnamede zorunlu tutulmalıdır.</w:t>
            </w:r>
          </w:p>
        </w:tc>
      </w:tr>
      <w:tr w:rsidR="006109D2" w:rsidRPr="006B02DA" w:rsidTr="006109D2">
        <w:trPr>
          <w:trHeight w:val="315"/>
        </w:trPr>
        <w:tc>
          <w:tcPr>
            <w:tcW w:w="8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02DA" w:rsidRPr="006B02DA" w:rsidRDefault="006B02DA" w:rsidP="006B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4</w:t>
            </w:r>
          </w:p>
        </w:tc>
        <w:tc>
          <w:tcPr>
            <w:tcW w:w="15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02DA" w:rsidRPr="006B02DA" w:rsidRDefault="006B02DA" w:rsidP="006B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Tedarikçi Taahhüdü</w:t>
            </w:r>
          </w:p>
        </w:tc>
        <w:tc>
          <w:tcPr>
            <w:tcW w:w="8162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B02DA" w:rsidRPr="006B02DA" w:rsidRDefault="006B02DA" w:rsidP="00DF4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6B02DA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Tedarikçi, ürünün enerji performans verilerini (test raporları, enerji etiketleri vb.) teklif dosyasında beyan etmekle yükümlüdür.</w:t>
            </w:r>
          </w:p>
        </w:tc>
      </w:tr>
    </w:tbl>
    <w:p w:rsidR="00632CED" w:rsidRDefault="00632CED" w:rsidP="00632C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32CED" w:rsidRDefault="00632CED" w:rsidP="00632C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61D9" w:rsidRPr="006B02DA" w:rsidRDefault="00632CED" w:rsidP="00632CED">
      <w:pPr>
        <w:spacing w:after="0" w:line="240" w:lineRule="auto"/>
        <w:jc w:val="both"/>
      </w:pPr>
      <w:r w:rsidRPr="00632CE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ÖEK </w:t>
      </w:r>
      <w:proofErr w:type="gramStart"/>
      <w:r w:rsidRPr="00632CED">
        <w:rPr>
          <w:rFonts w:ascii="Times New Roman" w:eastAsia="Times New Roman" w:hAnsi="Times New Roman" w:cs="Times New Roman"/>
          <w:sz w:val="24"/>
          <w:szCs w:val="24"/>
          <w:lang w:eastAsia="tr-TR"/>
        </w:rPr>
        <w:t>ekipmanların</w:t>
      </w:r>
      <w:proofErr w:type="gramEnd"/>
      <w:r w:rsidRPr="00632CE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tedarikinde, motor sistemlerinde yalnızca motorun IE3 ve üzeri verim sınıfı değil, uygun pompa uygulamalarında pompanın MEI değeri de dikkate alınmalıdır. Ofis ve BT donanımlarında, kullanılmadığı sürelerde otomatik düşük güç </w:t>
      </w:r>
      <w:proofErr w:type="spellStart"/>
      <w:r w:rsidRPr="00632CED">
        <w:rPr>
          <w:rFonts w:ascii="Times New Roman" w:eastAsia="Times New Roman" w:hAnsi="Times New Roman" w:cs="Times New Roman"/>
          <w:sz w:val="24"/>
          <w:szCs w:val="24"/>
          <w:lang w:eastAsia="tr-TR"/>
        </w:rPr>
        <w:t>moduna</w:t>
      </w:r>
      <w:proofErr w:type="spellEnd"/>
      <w:r w:rsidRPr="00632CE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geçen güncel ENERGY STAR sertifikalı veya eşdeğer ürünlere öncelik verilmelidir. Verimlilik sınıflandırmalarında IE3 alt sınır kabul edilmeli; uygulanabilir olanlarda IE4 ve IE5 sınıfı teknolojiler öncelikli değe</w:t>
      </w:r>
      <w:bookmarkStart w:id="0" w:name="_GoBack"/>
      <w:bookmarkEnd w:id="0"/>
      <w:r w:rsidRPr="00632CED">
        <w:rPr>
          <w:rFonts w:ascii="Times New Roman" w:eastAsia="Times New Roman" w:hAnsi="Times New Roman" w:cs="Times New Roman"/>
          <w:sz w:val="24"/>
          <w:szCs w:val="24"/>
          <w:lang w:eastAsia="tr-TR"/>
        </w:rPr>
        <w:t>rlendirilmelidir.</w:t>
      </w:r>
    </w:p>
    <w:sectPr w:rsidR="001761D9" w:rsidRPr="006B02DA" w:rsidSect="006B02DA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458" w:rsidRDefault="00CF4458" w:rsidP="006B02DA">
      <w:pPr>
        <w:spacing w:after="0" w:line="240" w:lineRule="auto"/>
      </w:pPr>
      <w:r>
        <w:separator/>
      </w:r>
    </w:p>
  </w:endnote>
  <w:endnote w:type="continuationSeparator" w:id="0">
    <w:p w:rsidR="00CF4458" w:rsidRDefault="00CF4458" w:rsidP="006B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0" w:type="dxa"/>
      <w:tblInd w:w="534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 w:firstRow="1" w:lastRow="0" w:firstColumn="1" w:lastColumn="0" w:noHBand="0" w:noVBand="1"/>
    </w:tblPr>
    <w:tblGrid>
      <w:gridCol w:w="4677"/>
      <w:gridCol w:w="5103"/>
    </w:tblGrid>
    <w:tr w:rsidR="006B02DA" w:rsidTr="00DB19E8">
      <w:trPr>
        <w:trHeight w:val="948"/>
      </w:trPr>
      <w:tc>
        <w:tcPr>
          <w:tcW w:w="467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6B02DA" w:rsidRPr="00F614A7" w:rsidRDefault="006B02DA" w:rsidP="00DB19E8">
          <w:pPr>
            <w:jc w:val="center"/>
            <w:rPr>
              <w:rFonts w:ascii="Arial" w:hAnsi="Arial" w:cs="Arial"/>
              <w:b/>
            </w:rPr>
          </w:pPr>
          <w:r w:rsidRPr="00F614A7">
            <w:rPr>
              <w:rFonts w:ascii="Arial" w:hAnsi="Arial" w:cs="Arial"/>
              <w:b/>
            </w:rPr>
            <w:t xml:space="preserve">HAZIRLAYAN </w:t>
          </w:r>
        </w:p>
        <w:p w:rsidR="006B02DA" w:rsidRPr="00F614A7" w:rsidRDefault="006B02DA" w:rsidP="00DB19E8">
          <w:pPr>
            <w:jc w:val="center"/>
            <w:rPr>
              <w:rFonts w:ascii="Arial" w:hAnsi="Arial" w:cs="Arial"/>
              <w:bCs/>
            </w:rPr>
          </w:pPr>
          <w:r w:rsidRPr="00F614A7">
            <w:rPr>
              <w:rFonts w:ascii="Arial" w:hAnsi="Arial" w:cs="Arial"/>
              <w:bCs/>
            </w:rPr>
            <w:t>Enerji Yöneticisi</w:t>
          </w:r>
        </w:p>
        <w:p w:rsidR="006B02DA" w:rsidRDefault="006B02DA" w:rsidP="00DB19E8">
          <w:pPr>
            <w:jc w:val="center"/>
            <w:rPr>
              <w:rFonts w:ascii="Arial" w:hAnsi="Arial" w:cs="Arial"/>
            </w:rPr>
          </w:pPr>
        </w:p>
      </w:tc>
      <w:tc>
        <w:tcPr>
          <w:tcW w:w="510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6B02DA" w:rsidRPr="00F614A7" w:rsidRDefault="006B02DA" w:rsidP="00DB19E8">
          <w:pPr>
            <w:jc w:val="center"/>
            <w:rPr>
              <w:rFonts w:ascii="Arial" w:hAnsi="Arial" w:cs="Arial"/>
              <w:b/>
            </w:rPr>
          </w:pPr>
          <w:r w:rsidRPr="00F614A7">
            <w:rPr>
              <w:rFonts w:ascii="Arial" w:hAnsi="Arial" w:cs="Arial"/>
              <w:b/>
            </w:rPr>
            <w:t xml:space="preserve">ONAYLAYAN </w:t>
          </w:r>
        </w:p>
        <w:p w:rsidR="006B02DA" w:rsidRPr="00F614A7" w:rsidRDefault="006B02DA" w:rsidP="00DB19E8">
          <w:pPr>
            <w:jc w:val="center"/>
            <w:rPr>
              <w:rFonts w:ascii="Arial" w:hAnsi="Arial" w:cs="Arial"/>
              <w:bCs/>
            </w:rPr>
          </w:pPr>
          <w:r>
            <w:rPr>
              <w:rFonts w:ascii="Arial" w:hAnsi="Arial" w:cs="Arial"/>
              <w:bCs/>
            </w:rPr>
            <w:t>Enerji Yönetimi ve Sürdürülebilirlik Koordinatörü</w:t>
          </w:r>
        </w:p>
        <w:p w:rsidR="006B02DA" w:rsidRDefault="006B02DA" w:rsidP="00DB19E8">
          <w:pPr>
            <w:jc w:val="center"/>
            <w:rPr>
              <w:rFonts w:ascii="Arial" w:hAnsi="Arial" w:cs="Arial"/>
            </w:rPr>
          </w:pPr>
        </w:p>
      </w:tc>
    </w:tr>
  </w:tbl>
  <w:p w:rsidR="006B02DA" w:rsidRDefault="006B02D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458" w:rsidRDefault="00CF4458" w:rsidP="006B02DA">
      <w:pPr>
        <w:spacing w:after="0" w:line="240" w:lineRule="auto"/>
      </w:pPr>
      <w:r>
        <w:separator/>
      </w:r>
    </w:p>
  </w:footnote>
  <w:footnote w:type="continuationSeparator" w:id="0">
    <w:p w:rsidR="00CF4458" w:rsidRDefault="00CF4458" w:rsidP="006B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2DA" w:rsidRPr="006B02DA" w:rsidRDefault="006B02DA" w:rsidP="006B02DA">
    <w:pPr>
      <w:tabs>
        <w:tab w:val="center" w:pos="4536"/>
        <w:tab w:val="right" w:pos="9072"/>
      </w:tabs>
      <w:spacing w:after="0" w:line="240" w:lineRule="auto"/>
      <w:ind w:left="-284"/>
      <w:rPr>
        <w:rFonts w:ascii="Calibri" w:eastAsia="Calibri" w:hAnsi="Calibri" w:cs="Times New Roman"/>
        <w:sz w:val="20"/>
        <w:szCs w:val="20"/>
        <w:lang w:val="x-none" w:eastAsia="x-none"/>
      </w:rPr>
    </w:pPr>
  </w:p>
  <w:p w:rsidR="006B02DA" w:rsidRPr="006B02DA" w:rsidRDefault="006B02DA" w:rsidP="006B02DA">
    <w:pPr>
      <w:tabs>
        <w:tab w:val="center" w:pos="4536"/>
        <w:tab w:val="right" w:pos="9072"/>
      </w:tabs>
      <w:spacing w:after="0" w:line="240" w:lineRule="auto"/>
      <w:ind w:left="-284"/>
      <w:rPr>
        <w:rFonts w:ascii="Calibri" w:eastAsia="Calibri" w:hAnsi="Calibri" w:cs="Times New Roman"/>
        <w:sz w:val="20"/>
        <w:szCs w:val="20"/>
        <w:lang w:val="x-none" w:eastAsia="x-none"/>
      </w:rPr>
    </w:pPr>
    <w:r>
      <w:rPr>
        <w:rFonts w:ascii="Calibri" w:eastAsia="Calibri" w:hAnsi="Calibri" w:cs="Times New Roman"/>
        <w:noProof/>
        <w:sz w:val="20"/>
        <w:szCs w:val="20"/>
        <w:lang w:eastAsia="tr-TR"/>
      </w:rPr>
      <w:drawing>
        <wp:anchor distT="0" distB="0" distL="114300" distR="114300" simplePos="0" relativeHeight="251661312" behindDoc="0" locked="0" layoutInCell="1" allowOverlap="1" wp14:anchorId="52842DC1" wp14:editId="33DC32CF">
          <wp:simplePos x="0" y="0"/>
          <wp:positionH relativeFrom="column">
            <wp:posOffset>-231140</wp:posOffset>
          </wp:positionH>
          <wp:positionV relativeFrom="paragraph">
            <wp:posOffset>108585</wp:posOffset>
          </wp:positionV>
          <wp:extent cx="676275" cy="676275"/>
          <wp:effectExtent l="0" t="0" r="9525" b="9525"/>
          <wp:wrapNone/>
          <wp:docPr id="12" name="Resi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2DA" w:rsidRPr="006B02DA" w:rsidRDefault="006B02DA" w:rsidP="006B02DA">
    <w:pPr>
      <w:tabs>
        <w:tab w:val="left" w:pos="2694"/>
      </w:tabs>
      <w:spacing w:after="0" w:line="240" w:lineRule="auto"/>
      <w:ind w:left="-284"/>
      <w:rPr>
        <w:rFonts w:ascii="Calibri" w:eastAsia="Calibri" w:hAnsi="Calibri" w:cs="Times New Roman"/>
        <w:sz w:val="20"/>
        <w:szCs w:val="20"/>
        <w:lang w:val="x-none" w:eastAsia="x-none"/>
      </w:rPr>
    </w:pPr>
    <w:r>
      <w:rPr>
        <w:rFonts w:ascii="Calibri" w:eastAsia="Calibri" w:hAnsi="Calibri" w:cs="Times New Roman"/>
        <w:noProof/>
        <w:sz w:val="20"/>
        <w:szCs w:val="20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96060B" wp14:editId="13729B7B">
              <wp:simplePos x="0" y="0"/>
              <wp:positionH relativeFrom="column">
                <wp:posOffset>3181350</wp:posOffset>
              </wp:positionH>
              <wp:positionV relativeFrom="paragraph">
                <wp:posOffset>167005</wp:posOffset>
              </wp:positionV>
              <wp:extent cx="2985770" cy="537210"/>
              <wp:effectExtent l="9525" t="5080" r="5080" b="10160"/>
              <wp:wrapNone/>
              <wp:docPr id="11" name="Metin Kutusu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5770" cy="537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B02DA" w:rsidRPr="004707FB" w:rsidRDefault="006B02DA" w:rsidP="006B02D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6B02DA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ÖEK SATIN ALMA ENERJİ VERİMLİLİĞİ ŞARTLARI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1" o:spid="_x0000_s1026" type="#_x0000_t202" style="position:absolute;left:0;text-align:left;margin-left:250.5pt;margin-top:13.15pt;width:235.1pt;height:4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" strokecolor="white" strokeweight="0">
              <v:textbox>
                <w:txbxContent>
                  <w:p w:rsidR="006B02DA" w:rsidRPr="004707FB" w:rsidRDefault="006B02DA" w:rsidP="006B02DA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 w:rsidRPr="006B02DA"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ÖEK SATIN ALMA ENERJİ VERİMLİLİĞİ ŞARTLARI LİSTESİ</w:t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eastAsia="Calibri" w:hAnsi="Calibri" w:cs="Times New Roman"/>
        <w:noProof/>
        <w:sz w:val="20"/>
        <w:szCs w:val="20"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C37C1A" wp14:editId="1C7CB0B0">
              <wp:simplePos x="0" y="0"/>
              <wp:positionH relativeFrom="column">
                <wp:posOffset>-389890</wp:posOffset>
              </wp:positionH>
              <wp:positionV relativeFrom="paragraph">
                <wp:posOffset>1077595</wp:posOffset>
              </wp:positionV>
              <wp:extent cx="7475855" cy="224155"/>
              <wp:effectExtent l="10160" t="10795" r="10160" b="12700"/>
              <wp:wrapNone/>
              <wp:docPr id="10" name="Metin Kutusu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75855" cy="224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B02DA" w:rsidRPr="004707FB" w:rsidRDefault="006B02DA" w:rsidP="006B02D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216E6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Doküman </w:t>
                          </w:r>
                          <w:proofErr w:type="gramStart"/>
                          <w:r w:rsidRPr="00216E6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No: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PR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10</w:t>
                          </w:r>
                          <w:r w:rsidRPr="00216E6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     </w:t>
                          </w:r>
                          <w:r w:rsidRPr="006B02DA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                   Yayın Tarihi: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01</w:t>
                          </w:r>
                          <w:r w:rsidRPr="006B02DA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.04.202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6</w:t>
                          </w:r>
                          <w:r w:rsidRPr="006B02DA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                               Revizyon Tarihi:                               Revizyon No: </w:t>
                          </w:r>
                          <w:r w:rsidRPr="006B02DA">
                            <w:rPr>
                              <w:rFonts w:ascii="Arial" w:hAnsi="Arial" w:cs="Arial"/>
                              <w:sz w:val="18"/>
                              <w:szCs w:val="18"/>
                              <w:u w:val="single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Metin Kutusu 10" o:spid="_x0000_s1027" type="#_x0000_t202" style="position:absolute;left:0;text-align:left;margin-left:-30.7pt;margin-top:84.85pt;width:588.65pt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" strokecolor="white" strokeweight="0">
              <v:textbox>
                <w:txbxContent>
                  <w:p w:rsidR="006B02DA" w:rsidRPr="004707FB" w:rsidRDefault="006B02DA" w:rsidP="006B02DA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 w:rsidRPr="00216E60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Doküman </w:t>
                    </w:r>
                    <w:proofErr w:type="gramStart"/>
                    <w:r w:rsidRPr="00216E60">
                      <w:rPr>
                        <w:rFonts w:ascii="Arial" w:hAnsi="Arial" w:cs="Arial"/>
                        <w:sz w:val="16"/>
                        <w:szCs w:val="16"/>
                      </w:rPr>
                      <w:t>No: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PR</w:t>
                    </w:r>
                    <w:proofErr w:type="gramEnd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10</w:t>
                    </w:r>
                    <w:r w:rsidRPr="00216E60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     </w:t>
                    </w:r>
                    <w:r w:rsidRPr="006B02DA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                    Yayın Tarihi: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01</w:t>
                    </w:r>
                    <w:r w:rsidRPr="006B02DA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.04.202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6</w:t>
                    </w:r>
                    <w:r w:rsidRPr="006B02DA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                                Revizyon Tarihi:                               Revizyon No: </w:t>
                    </w:r>
                    <w:r w:rsidRPr="006B02DA">
                      <w:rPr>
                        <w:rFonts w:ascii="Arial" w:hAnsi="Arial" w:cs="Arial"/>
                        <w:sz w:val="18"/>
                        <w:szCs w:val="18"/>
                        <w:u w:val="single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eastAsia="Calibri" w:hAnsi="Calibri" w:cs="Times New Roman"/>
        <w:noProof/>
        <w:sz w:val="20"/>
        <w:szCs w:val="20"/>
        <w:lang w:eastAsia="tr-TR"/>
      </w:rPr>
      <w:drawing>
        <wp:inline distT="0" distB="0" distL="0" distR="0" wp14:anchorId="76930F19" wp14:editId="02B73702">
          <wp:extent cx="6905625" cy="1381125"/>
          <wp:effectExtent l="0" t="0" r="9525" b="9525"/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5625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02DA" w:rsidRDefault="006B02D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2DA"/>
    <w:rsid w:val="001761D9"/>
    <w:rsid w:val="002C622F"/>
    <w:rsid w:val="006109D2"/>
    <w:rsid w:val="00632CED"/>
    <w:rsid w:val="006B02DA"/>
    <w:rsid w:val="006D49D6"/>
    <w:rsid w:val="00CF4458"/>
    <w:rsid w:val="00DF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6B02DA"/>
    <w:rPr>
      <w:b/>
      <w:bCs/>
    </w:rPr>
  </w:style>
  <w:style w:type="character" w:customStyle="1" w:styleId="math-inline">
    <w:name w:val="math-inline"/>
    <w:basedOn w:val="VarsaylanParagrafYazTipi"/>
    <w:rsid w:val="006B02DA"/>
  </w:style>
  <w:style w:type="paragraph" w:styleId="stbilgi">
    <w:name w:val="header"/>
    <w:basedOn w:val="Normal"/>
    <w:link w:val="stbilgiChar"/>
    <w:uiPriority w:val="99"/>
    <w:unhideWhenUsed/>
    <w:rsid w:val="006B0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B02DA"/>
  </w:style>
  <w:style w:type="paragraph" w:styleId="Altbilgi">
    <w:name w:val="footer"/>
    <w:basedOn w:val="Normal"/>
    <w:link w:val="AltbilgiChar"/>
    <w:uiPriority w:val="99"/>
    <w:unhideWhenUsed/>
    <w:rsid w:val="006B0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B02DA"/>
  </w:style>
  <w:style w:type="paragraph" w:styleId="BalonMetni">
    <w:name w:val="Balloon Text"/>
    <w:basedOn w:val="Normal"/>
    <w:link w:val="BalonMetniChar"/>
    <w:uiPriority w:val="99"/>
    <w:semiHidden/>
    <w:unhideWhenUsed/>
    <w:rsid w:val="006B0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0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6B02DA"/>
    <w:rPr>
      <w:b/>
      <w:bCs/>
    </w:rPr>
  </w:style>
  <w:style w:type="character" w:customStyle="1" w:styleId="math-inline">
    <w:name w:val="math-inline"/>
    <w:basedOn w:val="VarsaylanParagrafYazTipi"/>
    <w:rsid w:val="006B02DA"/>
  </w:style>
  <w:style w:type="paragraph" w:styleId="stbilgi">
    <w:name w:val="header"/>
    <w:basedOn w:val="Normal"/>
    <w:link w:val="stbilgiChar"/>
    <w:uiPriority w:val="99"/>
    <w:unhideWhenUsed/>
    <w:rsid w:val="006B0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B02DA"/>
  </w:style>
  <w:style w:type="paragraph" w:styleId="Altbilgi">
    <w:name w:val="footer"/>
    <w:basedOn w:val="Normal"/>
    <w:link w:val="AltbilgiChar"/>
    <w:uiPriority w:val="99"/>
    <w:unhideWhenUsed/>
    <w:rsid w:val="006B0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B02DA"/>
  </w:style>
  <w:style w:type="paragraph" w:styleId="BalonMetni">
    <w:name w:val="Balloon Text"/>
    <w:basedOn w:val="Normal"/>
    <w:link w:val="BalonMetniChar"/>
    <w:uiPriority w:val="99"/>
    <w:semiHidden/>
    <w:unhideWhenUsed/>
    <w:rsid w:val="006B0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0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1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2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6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6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4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8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SİNOPLUGİL</dc:creator>
  <cp:lastModifiedBy>Halil SİNOPLUGİL</cp:lastModifiedBy>
  <cp:revision>2</cp:revision>
  <dcterms:created xsi:type="dcterms:W3CDTF">2026-04-09T12:24:00Z</dcterms:created>
  <dcterms:modified xsi:type="dcterms:W3CDTF">2026-04-09T13:13:00Z</dcterms:modified>
</cp:coreProperties>
</file>