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17CAC" w14:textId="77777777" w:rsidR="009147BF" w:rsidRPr="009147BF" w:rsidRDefault="00A945D8" w:rsidP="009147BF">
      <w:pPr>
        <w:spacing w:before="100" w:beforeAutospacing="1" w:after="100" w:afterAutospacing="1" w:line="240" w:lineRule="auto"/>
        <w:jc w:val="both"/>
        <w:outlineLvl w:val="1"/>
        <w:rPr>
          <w:rFonts w:ascii="Times New Roman" w:eastAsia="Times New Roman" w:hAnsi="Times New Roman" w:cs="Times New Roman"/>
          <w:b/>
          <w:bCs/>
          <w:sz w:val="36"/>
          <w:szCs w:val="36"/>
          <w:lang w:eastAsia="tr-TR"/>
        </w:rPr>
      </w:pPr>
      <w:r>
        <w:rPr>
          <w:rFonts w:ascii="Times New Roman" w:eastAsia="Times New Roman" w:hAnsi="Times New Roman" w:cs="Times New Roman"/>
          <w:b/>
          <w:bCs/>
          <w:sz w:val="36"/>
          <w:szCs w:val="36"/>
          <w:lang w:eastAsia="tr-TR"/>
        </w:rPr>
        <w:t>T</w:t>
      </w:r>
      <w:r w:rsidR="009147BF" w:rsidRPr="009147BF">
        <w:rPr>
          <w:rFonts w:ascii="Times New Roman" w:eastAsia="Times New Roman" w:hAnsi="Times New Roman" w:cs="Times New Roman"/>
          <w:b/>
          <w:bCs/>
          <w:sz w:val="36"/>
          <w:szCs w:val="36"/>
          <w:lang w:eastAsia="tr-TR"/>
        </w:rPr>
        <w:t>ürk Vergi Sistemi Dersi Öğrenme Çıktıları Değerlendirme Raporu</w:t>
      </w:r>
    </w:p>
    <w:p w14:paraId="12C8C79A" w14:textId="77777777" w:rsidR="009147BF" w:rsidRPr="009147BF" w:rsidRDefault="00000000" w:rsidP="009147B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002AA0F0">
          <v:rect id="_x0000_i1025" style="width:0;height:1.5pt" o:hralign="center" o:hrstd="t" o:hr="t" fillcolor="#a0a0a0" stroked="f"/>
        </w:pict>
      </w:r>
    </w:p>
    <w:p w14:paraId="3B9E0ED3" w14:textId="77777777" w:rsidR="009147BF" w:rsidRPr="009147BF" w:rsidRDefault="009147BF" w:rsidP="009147B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9147BF">
        <w:rPr>
          <w:rFonts w:ascii="Times New Roman" w:eastAsia="Times New Roman" w:hAnsi="Times New Roman" w:cs="Times New Roman"/>
          <w:b/>
          <w:bCs/>
          <w:sz w:val="27"/>
          <w:szCs w:val="27"/>
          <w:lang w:eastAsia="tr-TR"/>
        </w:rPr>
        <w:t>Giriş</w:t>
      </w:r>
    </w:p>
    <w:p w14:paraId="39AB911D" w14:textId="77777777" w:rsidR="009147BF" w:rsidRPr="009147BF" w:rsidRDefault="009147BF" w:rsidP="009147B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Bu rapor, “Türk Vergi Sistemi” dersi kapsamında öğrencilerin elde ettikleri öğrenme çıktılarının değerlendirilmesine yönelik istatistiksel analizleri içermektedir. Analiz sonuçları, öğrencilerin Türk vergi sistemi içerisinde yer alan gelir, harcama ve servet üzerinden alınan vergilere ilişkin bilgi düzeylerini ortaya koymaktadır.</w:t>
      </w:r>
    </w:p>
    <w:p w14:paraId="05EAE4EC" w14:textId="77777777" w:rsidR="009147BF" w:rsidRPr="009147BF" w:rsidRDefault="00000000" w:rsidP="009147B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7E6CB5FB">
          <v:rect id="_x0000_i1026" style="width:0;height:1.5pt" o:hralign="center" o:hrstd="t" o:hr="t" fillcolor="#a0a0a0" stroked="f"/>
        </w:pict>
      </w:r>
    </w:p>
    <w:p w14:paraId="1F5CEDFB" w14:textId="77777777" w:rsidR="009147BF" w:rsidRPr="009147BF" w:rsidRDefault="009147BF" w:rsidP="009147B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9147BF">
        <w:rPr>
          <w:rFonts w:ascii="Times New Roman" w:eastAsia="Times New Roman" w:hAnsi="Times New Roman" w:cs="Times New Roman"/>
          <w:b/>
          <w:bCs/>
          <w:sz w:val="27"/>
          <w:szCs w:val="27"/>
          <w:lang w:eastAsia="tr-TR"/>
        </w:rPr>
        <w:t>1. Genel Başarı Durumu</w:t>
      </w:r>
    </w:p>
    <w:p w14:paraId="4B226B28" w14:textId="77777777" w:rsidR="009147BF" w:rsidRPr="009147BF" w:rsidRDefault="009147BF" w:rsidP="009147B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 xml:space="preserve">Türk Vergi Sistemi dersine ait öğrenme çıktıları incelendiğinde, öğrencilerin genel başarı ortalamasının </w:t>
      </w:r>
      <w:r w:rsidRPr="009147BF">
        <w:rPr>
          <w:rFonts w:ascii="Times New Roman" w:eastAsia="Times New Roman" w:hAnsi="Times New Roman" w:cs="Times New Roman"/>
          <w:b/>
          <w:bCs/>
          <w:sz w:val="24"/>
          <w:szCs w:val="24"/>
          <w:lang w:eastAsia="tr-TR"/>
        </w:rPr>
        <w:t>4,08</w:t>
      </w:r>
      <w:r w:rsidRPr="009147BF">
        <w:rPr>
          <w:rFonts w:ascii="Times New Roman" w:eastAsia="Times New Roman" w:hAnsi="Times New Roman" w:cs="Times New Roman"/>
          <w:sz w:val="24"/>
          <w:szCs w:val="24"/>
          <w:lang w:eastAsia="tr-TR"/>
        </w:rPr>
        <w:t xml:space="preserve"> ve başarı oranının </w:t>
      </w:r>
      <w:r w:rsidRPr="009147BF">
        <w:rPr>
          <w:rFonts w:ascii="Times New Roman" w:eastAsia="Times New Roman" w:hAnsi="Times New Roman" w:cs="Times New Roman"/>
          <w:b/>
          <w:bCs/>
          <w:sz w:val="24"/>
          <w:szCs w:val="24"/>
          <w:lang w:eastAsia="tr-TR"/>
        </w:rPr>
        <w:t>%82</w:t>
      </w:r>
      <w:r w:rsidRPr="009147BF">
        <w:rPr>
          <w:rFonts w:ascii="Times New Roman" w:eastAsia="Times New Roman" w:hAnsi="Times New Roman" w:cs="Times New Roman"/>
          <w:sz w:val="24"/>
          <w:szCs w:val="24"/>
          <w:lang w:eastAsia="tr-TR"/>
        </w:rPr>
        <w:t xml:space="preserve"> olduğu görülmektedir. Bu sonuçlar, öğrencilerin ders kapsamında belirlenen kazanımları </w:t>
      </w:r>
      <w:r w:rsidRPr="009147BF">
        <w:rPr>
          <w:rFonts w:ascii="Times New Roman" w:eastAsia="Times New Roman" w:hAnsi="Times New Roman" w:cs="Times New Roman"/>
          <w:b/>
          <w:bCs/>
          <w:sz w:val="24"/>
          <w:szCs w:val="24"/>
          <w:lang w:eastAsia="tr-TR"/>
        </w:rPr>
        <w:t>yüksek düzeyde</w:t>
      </w:r>
      <w:r w:rsidRPr="009147BF">
        <w:rPr>
          <w:rFonts w:ascii="Times New Roman" w:eastAsia="Times New Roman" w:hAnsi="Times New Roman" w:cs="Times New Roman"/>
          <w:sz w:val="24"/>
          <w:szCs w:val="24"/>
          <w:lang w:eastAsia="tr-TR"/>
        </w:rPr>
        <w:t xml:space="preserve"> edindiklerini, ancak bazı konuların geliştirmeye açık olduğunu göstermektedir.</w:t>
      </w:r>
    </w:p>
    <w:p w14:paraId="0275C77C" w14:textId="77777777" w:rsidR="009147BF" w:rsidRPr="009147BF" w:rsidRDefault="00000000" w:rsidP="009147B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2B8E5120">
          <v:rect id="_x0000_i1027" style="width:0;height:1.5pt" o:hralign="center" o:hrstd="t" o:hr="t" fillcolor="#a0a0a0" stroked="f"/>
        </w:pict>
      </w:r>
    </w:p>
    <w:p w14:paraId="7B728D60" w14:textId="77777777" w:rsidR="009147BF" w:rsidRPr="009147BF" w:rsidRDefault="009147BF" w:rsidP="009147B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9147BF">
        <w:rPr>
          <w:rFonts w:ascii="Times New Roman" w:eastAsia="Times New Roman" w:hAnsi="Times New Roman" w:cs="Times New Roman"/>
          <w:b/>
          <w:bCs/>
          <w:sz w:val="27"/>
          <w:szCs w:val="27"/>
          <w:lang w:eastAsia="tr-TR"/>
        </w:rPr>
        <w:t>2. Öğrenme Çıktılarına Göre Ayrıntılı Değerlendirme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7"/>
        <w:gridCol w:w="1060"/>
        <w:gridCol w:w="714"/>
        <w:gridCol w:w="3701"/>
      </w:tblGrid>
      <w:tr w:rsidR="009147BF" w:rsidRPr="009147BF" w14:paraId="4B2E6A13" w14:textId="77777777" w:rsidTr="009147BF">
        <w:trPr>
          <w:tblHeader/>
          <w:tblCellSpacing w:w="15" w:type="dxa"/>
        </w:trPr>
        <w:tc>
          <w:tcPr>
            <w:tcW w:w="0" w:type="auto"/>
            <w:vAlign w:val="center"/>
            <w:hideMark/>
          </w:tcPr>
          <w:p w14:paraId="74A697F5" w14:textId="77777777" w:rsidR="009147BF" w:rsidRPr="009147BF" w:rsidRDefault="009147BF" w:rsidP="009147BF">
            <w:pPr>
              <w:spacing w:after="0" w:line="240" w:lineRule="auto"/>
              <w:jc w:val="both"/>
              <w:rPr>
                <w:rFonts w:ascii="Times New Roman" w:eastAsia="Times New Roman" w:hAnsi="Times New Roman" w:cs="Times New Roman"/>
                <w:b/>
                <w:bCs/>
                <w:sz w:val="24"/>
                <w:szCs w:val="24"/>
                <w:lang w:eastAsia="tr-TR"/>
              </w:rPr>
            </w:pPr>
            <w:r w:rsidRPr="009147BF">
              <w:rPr>
                <w:rFonts w:ascii="Times New Roman" w:eastAsia="Times New Roman" w:hAnsi="Times New Roman" w:cs="Times New Roman"/>
                <w:b/>
                <w:bCs/>
                <w:sz w:val="24"/>
                <w:szCs w:val="24"/>
                <w:lang w:eastAsia="tr-TR"/>
              </w:rPr>
              <w:t>Öğrenme Çıktısı</w:t>
            </w:r>
          </w:p>
        </w:tc>
        <w:tc>
          <w:tcPr>
            <w:tcW w:w="0" w:type="auto"/>
            <w:vAlign w:val="center"/>
            <w:hideMark/>
          </w:tcPr>
          <w:p w14:paraId="36207B21" w14:textId="77777777" w:rsidR="009147BF" w:rsidRPr="009147BF" w:rsidRDefault="009147BF" w:rsidP="009147BF">
            <w:pPr>
              <w:spacing w:after="0" w:line="240" w:lineRule="auto"/>
              <w:jc w:val="both"/>
              <w:rPr>
                <w:rFonts w:ascii="Times New Roman" w:eastAsia="Times New Roman" w:hAnsi="Times New Roman" w:cs="Times New Roman"/>
                <w:b/>
                <w:bCs/>
                <w:sz w:val="24"/>
                <w:szCs w:val="24"/>
                <w:lang w:eastAsia="tr-TR"/>
              </w:rPr>
            </w:pPr>
            <w:r w:rsidRPr="009147BF">
              <w:rPr>
                <w:rFonts w:ascii="Times New Roman" w:eastAsia="Times New Roman" w:hAnsi="Times New Roman" w:cs="Times New Roman"/>
                <w:b/>
                <w:bCs/>
                <w:sz w:val="24"/>
                <w:szCs w:val="24"/>
                <w:lang w:eastAsia="tr-TR"/>
              </w:rPr>
              <w:t>Ortalama</w:t>
            </w:r>
          </w:p>
        </w:tc>
        <w:tc>
          <w:tcPr>
            <w:tcW w:w="0" w:type="auto"/>
            <w:vAlign w:val="center"/>
            <w:hideMark/>
          </w:tcPr>
          <w:p w14:paraId="172074D6" w14:textId="77777777" w:rsidR="009147BF" w:rsidRPr="009147BF" w:rsidRDefault="009147BF" w:rsidP="009147BF">
            <w:pPr>
              <w:spacing w:after="0" w:line="240" w:lineRule="auto"/>
              <w:jc w:val="both"/>
              <w:rPr>
                <w:rFonts w:ascii="Times New Roman" w:eastAsia="Times New Roman" w:hAnsi="Times New Roman" w:cs="Times New Roman"/>
                <w:b/>
                <w:bCs/>
                <w:sz w:val="24"/>
                <w:szCs w:val="24"/>
                <w:lang w:eastAsia="tr-TR"/>
              </w:rPr>
            </w:pPr>
            <w:r w:rsidRPr="009147BF">
              <w:rPr>
                <w:rFonts w:ascii="Times New Roman" w:eastAsia="Times New Roman" w:hAnsi="Times New Roman" w:cs="Times New Roman"/>
                <w:b/>
                <w:bCs/>
                <w:sz w:val="24"/>
                <w:szCs w:val="24"/>
                <w:lang w:eastAsia="tr-TR"/>
              </w:rPr>
              <w:t>Yüzde</w:t>
            </w:r>
          </w:p>
        </w:tc>
        <w:tc>
          <w:tcPr>
            <w:tcW w:w="0" w:type="auto"/>
            <w:vAlign w:val="center"/>
            <w:hideMark/>
          </w:tcPr>
          <w:p w14:paraId="532EF308" w14:textId="77777777" w:rsidR="009147BF" w:rsidRPr="009147BF" w:rsidRDefault="009147BF" w:rsidP="009147BF">
            <w:pPr>
              <w:spacing w:after="0" w:line="240" w:lineRule="auto"/>
              <w:jc w:val="both"/>
              <w:rPr>
                <w:rFonts w:ascii="Times New Roman" w:eastAsia="Times New Roman" w:hAnsi="Times New Roman" w:cs="Times New Roman"/>
                <w:b/>
                <w:bCs/>
                <w:sz w:val="24"/>
                <w:szCs w:val="24"/>
                <w:lang w:eastAsia="tr-TR"/>
              </w:rPr>
            </w:pPr>
            <w:r w:rsidRPr="009147BF">
              <w:rPr>
                <w:rFonts w:ascii="Times New Roman" w:eastAsia="Times New Roman" w:hAnsi="Times New Roman" w:cs="Times New Roman"/>
                <w:b/>
                <w:bCs/>
                <w:sz w:val="24"/>
                <w:szCs w:val="24"/>
                <w:lang w:eastAsia="tr-TR"/>
              </w:rPr>
              <w:t>Değerlendirme</w:t>
            </w:r>
          </w:p>
        </w:tc>
      </w:tr>
      <w:tr w:rsidR="009147BF" w:rsidRPr="009147BF" w14:paraId="2E9BA2F3" w14:textId="77777777" w:rsidTr="009147BF">
        <w:trPr>
          <w:tblCellSpacing w:w="15" w:type="dxa"/>
        </w:trPr>
        <w:tc>
          <w:tcPr>
            <w:tcW w:w="0" w:type="auto"/>
            <w:vAlign w:val="center"/>
            <w:hideMark/>
          </w:tcPr>
          <w:p w14:paraId="4EA83185"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Gelir üzerinden alınan vergilerin konusu, mükellefleri, tarifesi, muafiyet ve istisnalarını öğrenir.</w:t>
            </w:r>
          </w:p>
        </w:tc>
        <w:tc>
          <w:tcPr>
            <w:tcW w:w="0" w:type="auto"/>
            <w:vAlign w:val="center"/>
            <w:hideMark/>
          </w:tcPr>
          <w:p w14:paraId="25809442" w14:textId="77777777" w:rsidR="009147BF" w:rsidRPr="009147BF" w:rsidRDefault="009147BF" w:rsidP="009147BF">
            <w:pPr>
              <w:spacing w:after="0" w:line="240" w:lineRule="auto"/>
              <w:jc w:val="center"/>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4,16</w:t>
            </w:r>
          </w:p>
        </w:tc>
        <w:tc>
          <w:tcPr>
            <w:tcW w:w="0" w:type="auto"/>
            <w:vAlign w:val="center"/>
            <w:hideMark/>
          </w:tcPr>
          <w:p w14:paraId="50C472C1"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%83</w:t>
            </w:r>
          </w:p>
        </w:tc>
        <w:tc>
          <w:tcPr>
            <w:tcW w:w="0" w:type="auto"/>
            <w:vAlign w:val="center"/>
            <w:hideMark/>
          </w:tcPr>
          <w:p w14:paraId="1B733A98"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Öğrenciler bu vergi türüne ilişkin temel bilgileri büyük ölçüde kavramıştır.</w:t>
            </w:r>
          </w:p>
        </w:tc>
      </w:tr>
      <w:tr w:rsidR="009147BF" w:rsidRPr="009147BF" w14:paraId="104F8D03" w14:textId="77777777" w:rsidTr="009147BF">
        <w:trPr>
          <w:tblCellSpacing w:w="15" w:type="dxa"/>
        </w:trPr>
        <w:tc>
          <w:tcPr>
            <w:tcW w:w="0" w:type="auto"/>
            <w:vAlign w:val="center"/>
            <w:hideMark/>
          </w:tcPr>
          <w:p w14:paraId="23C713EE"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Harcamalar üzerinden alınan vergilerin konusu, mükellefleri, tarifesi, muafiyet ve istisnalarını öğrenir.</w:t>
            </w:r>
          </w:p>
        </w:tc>
        <w:tc>
          <w:tcPr>
            <w:tcW w:w="0" w:type="auto"/>
            <w:vAlign w:val="center"/>
            <w:hideMark/>
          </w:tcPr>
          <w:p w14:paraId="27544829" w14:textId="77777777" w:rsidR="009147BF" w:rsidRPr="009147BF" w:rsidRDefault="009147BF" w:rsidP="009147BF">
            <w:pPr>
              <w:spacing w:after="0" w:line="240" w:lineRule="auto"/>
              <w:jc w:val="center"/>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4,13</w:t>
            </w:r>
          </w:p>
        </w:tc>
        <w:tc>
          <w:tcPr>
            <w:tcW w:w="0" w:type="auto"/>
            <w:vAlign w:val="center"/>
            <w:hideMark/>
          </w:tcPr>
          <w:p w14:paraId="6761174C"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%83</w:t>
            </w:r>
          </w:p>
        </w:tc>
        <w:tc>
          <w:tcPr>
            <w:tcW w:w="0" w:type="auto"/>
            <w:vAlign w:val="center"/>
            <w:hideMark/>
          </w:tcPr>
          <w:p w14:paraId="12C7A69D"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Dolaylı vergilere ilişkin bilgi düzeyi yüksek olmakla birlikte ayrıntılı uygulamalara ihtiyaç vardır.</w:t>
            </w:r>
          </w:p>
        </w:tc>
      </w:tr>
      <w:tr w:rsidR="009147BF" w:rsidRPr="009147BF" w14:paraId="633F38AB" w14:textId="77777777" w:rsidTr="009147BF">
        <w:trPr>
          <w:tblCellSpacing w:w="15" w:type="dxa"/>
        </w:trPr>
        <w:tc>
          <w:tcPr>
            <w:tcW w:w="0" w:type="auto"/>
            <w:vAlign w:val="center"/>
            <w:hideMark/>
          </w:tcPr>
          <w:p w14:paraId="56E15380"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Servet üzerinden alınan vergilerin konusu, mükellefleri, tarifesi, muafiyet ve istisnalarını öğrenir.</w:t>
            </w:r>
          </w:p>
        </w:tc>
        <w:tc>
          <w:tcPr>
            <w:tcW w:w="0" w:type="auto"/>
            <w:vAlign w:val="center"/>
            <w:hideMark/>
          </w:tcPr>
          <w:p w14:paraId="1D4D442C" w14:textId="77777777" w:rsidR="009147BF" w:rsidRPr="009147BF" w:rsidRDefault="009147BF" w:rsidP="009147BF">
            <w:pPr>
              <w:spacing w:after="0" w:line="240" w:lineRule="auto"/>
              <w:jc w:val="center"/>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3,97</w:t>
            </w:r>
          </w:p>
        </w:tc>
        <w:tc>
          <w:tcPr>
            <w:tcW w:w="0" w:type="auto"/>
            <w:vAlign w:val="center"/>
            <w:hideMark/>
          </w:tcPr>
          <w:p w14:paraId="383D0A53"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%79</w:t>
            </w:r>
          </w:p>
        </w:tc>
        <w:tc>
          <w:tcPr>
            <w:tcW w:w="0" w:type="auto"/>
            <w:vAlign w:val="center"/>
            <w:hideMark/>
          </w:tcPr>
          <w:p w14:paraId="18C1F0CA" w14:textId="77777777" w:rsidR="009147BF" w:rsidRPr="009147BF" w:rsidRDefault="009147BF" w:rsidP="009147BF">
            <w:pPr>
              <w:spacing w:after="0"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Bu öğrenme çıktısında başarı düzeyi diğerlerine göre daha düşüktür.</w:t>
            </w:r>
          </w:p>
        </w:tc>
      </w:tr>
    </w:tbl>
    <w:p w14:paraId="0B6DD64F" w14:textId="77777777" w:rsidR="009147BF" w:rsidRPr="009147BF" w:rsidRDefault="00000000" w:rsidP="009147B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0DCB12EB">
          <v:rect id="_x0000_i1028" style="width:0;height:1.5pt" o:hralign="center" o:hrstd="t" o:hr="t" fillcolor="#a0a0a0" stroked="f"/>
        </w:pict>
      </w:r>
    </w:p>
    <w:p w14:paraId="0FC3548B" w14:textId="77777777" w:rsidR="009147BF" w:rsidRPr="009147BF" w:rsidRDefault="009147BF" w:rsidP="009147B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9147BF">
        <w:rPr>
          <w:rFonts w:ascii="Times New Roman" w:eastAsia="Times New Roman" w:hAnsi="Times New Roman" w:cs="Times New Roman"/>
          <w:b/>
          <w:bCs/>
          <w:sz w:val="27"/>
          <w:szCs w:val="27"/>
          <w:lang w:eastAsia="tr-TR"/>
        </w:rPr>
        <w:t>3. İstatistiksel Yorum</w:t>
      </w:r>
    </w:p>
    <w:p w14:paraId="538F02AE" w14:textId="77777777" w:rsidR="009147BF" w:rsidRPr="009147BF" w:rsidRDefault="009147BF" w:rsidP="009147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b/>
          <w:bCs/>
          <w:sz w:val="24"/>
          <w:szCs w:val="24"/>
          <w:lang w:eastAsia="tr-TR"/>
        </w:rPr>
        <w:t>Standart Sapma (1,24):</w:t>
      </w:r>
      <w:r w:rsidRPr="009147BF">
        <w:rPr>
          <w:rFonts w:ascii="Times New Roman" w:eastAsia="Times New Roman" w:hAnsi="Times New Roman" w:cs="Times New Roman"/>
          <w:sz w:val="24"/>
          <w:szCs w:val="24"/>
          <w:lang w:eastAsia="tr-TR"/>
        </w:rPr>
        <w:t xml:space="preserve"> Öğrencilerin öğrenme düzeyleri arasında belirgin farklılıklar olduğunu göstermektedir.</w:t>
      </w:r>
    </w:p>
    <w:p w14:paraId="3066B12B" w14:textId="77777777" w:rsidR="009147BF" w:rsidRPr="009147BF" w:rsidRDefault="009147BF" w:rsidP="009147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b/>
          <w:bCs/>
          <w:sz w:val="24"/>
          <w:szCs w:val="24"/>
          <w:lang w:eastAsia="tr-TR"/>
        </w:rPr>
        <w:t>Varyasyon Katsayısı (%30):</w:t>
      </w:r>
      <w:r w:rsidRPr="009147BF">
        <w:rPr>
          <w:rFonts w:ascii="Times New Roman" w:eastAsia="Times New Roman" w:hAnsi="Times New Roman" w:cs="Times New Roman"/>
          <w:sz w:val="24"/>
          <w:szCs w:val="24"/>
          <w:lang w:eastAsia="tr-TR"/>
        </w:rPr>
        <w:t xml:space="preserve"> Öğrenme çıktılarında dağılımın görece yüksek olduğunu ve bazı konuların öğrenciler tarafından daha zor algılandığını ortaya koymaktadır.</w:t>
      </w:r>
    </w:p>
    <w:p w14:paraId="6EA77DEF" w14:textId="77777777" w:rsidR="009147BF" w:rsidRPr="009147BF" w:rsidRDefault="009147BF" w:rsidP="009147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En yüksek varyasyon katsayısının servet üzerinden alınan vergiler konusunda olması, bu konunun daha soyut ve karmaşık algılandığını düşündürmektedir.</w:t>
      </w:r>
    </w:p>
    <w:p w14:paraId="2A972652" w14:textId="77777777" w:rsidR="009147BF" w:rsidRPr="009147BF" w:rsidRDefault="00000000" w:rsidP="009147B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pict w14:anchorId="42A17020">
          <v:rect id="_x0000_i1029" style="width:0;height:1.5pt" o:hralign="center" o:hrstd="t" o:hr="t" fillcolor="#a0a0a0" stroked="f"/>
        </w:pict>
      </w:r>
    </w:p>
    <w:p w14:paraId="03A5F23B" w14:textId="77777777" w:rsidR="009147BF" w:rsidRPr="009147BF" w:rsidRDefault="009147BF" w:rsidP="009147BF">
      <w:pPr>
        <w:spacing w:before="100" w:beforeAutospacing="1" w:after="100" w:afterAutospacing="1" w:line="240" w:lineRule="auto"/>
        <w:jc w:val="both"/>
        <w:outlineLvl w:val="2"/>
        <w:rPr>
          <w:rFonts w:ascii="Times New Roman" w:eastAsia="Times New Roman" w:hAnsi="Times New Roman" w:cs="Times New Roman"/>
          <w:b/>
          <w:bCs/>
          <w:sz w:val="27"/>
          <w:szCs w:val="27"/>
          <w:lang w:eastAsia="tr-TR"/>
        </w:rPr>
      </w:pPr>
      <w:r w:rsidRPr="009147BF">
        <w:rPr>
          <w:rFonts w:ascii="Times New Roman" w:eastAsia="Times New Roman" w:hAnsi="Times New Roman" w:cs="Times New Roman"/>
          <w:b/>
          <w:bCs/>
          <w:sz w:val="27"/>
          <w:szCs w:val="27"/>
          <w:lang w:eastAsia="tr-TR"/>
        </w:rPr>
        <w:t>4. Sonuç ve Öneriler</w:t>
      </w:r>
    </w:p>
    <w:p w14:paraId="104A7E21" w14:textId="77777777" w:rsidR="009147BF" w:rsidRPr="009147BF" w:rsidRDefault="009147BF" w:rsidP="009147B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Türk Vergi Sistemi dersi kapsamında öğrencilerin, vergi türlerine ilişkin temel bilgileri genel olarak kazandıkları görülmektedir. Gelir ve harcama üzerinden alınan vergiler konusunda başarı düzeyi yüksek iken, servet üzerinden alınan vergiler konusunda nispeten daha düşük bir başarı düzeyi gözlenmiştir.</w:t>
      </w:r>
    </w:p>
    <w:p w14:paraId="14D5706A" w14:textId="77777777" w:rsidR="009147BF" w:rsidRPr="009147BF" w:rsidRDefault="009147BF" w:rsidP="009147B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Bu doğrultuda aşağıdaki öneriler sunulmaktadır:</w:t>
      </w:r>
    </w:p>
    <w:p w14:paraId="5B463D5E" w14:textId="77777777" w:rsidR="009147BF" w:rsidRPr="009147BF" w:rsidRDefault="009147BF" w:rsidP="009147B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 xml:space="preserve">Servet üzerinden alınan vergilere ilişkin </w:t>
      </w:r>
      <w:r w:rsidRPr="009147BF">
        <w:rPr>
          <w:rFonts w:ascii="Times New Roman" w:eastAsia="Times New Roman" w:hAnsi="Times New Roman" w:cs="Times New Roman"/>
          <w:b/>
          <w:bCs/>
          <w:sz w:val="24"/>
          <w:szCs w:val="24"/>
          <w:lang w:eastAsia="tr-TR"/>
        </w:rPr>
        <w:t>örnek olay ve vaka analizlerinin</w:t>
      </w:r>
      <w:r w:rsidRPr="009147BF">
        <w:rPr>
          <w:rFonts w:ascii="Times New Roman" w:eastAsia="Times New Roman" w:hAnsi="Times New Roman" w:cs="Times New Roman"/>
          <w:sz w:val="24"/>
          <w:szCs w:val="24"/>
          <w:lang w:eastAsia="tr-TR"/>
        </w:rPr>
        <w:t xml:space="preserve"> artırılması,</w:t>
      </w:r>
    </w:p>
    <w:p w14:paraId="30AD1518" w14:textId="77777777" w:rsidR="009147BF" w:rsidRPr="009147BF" w:rsidRDefault="009147BF" w:rsidP="009147B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 xml:space="preserve">Vergi türlerinin </w:t>
      </w:r>
      <w:r w:rsidRPr="009147BF">
        <w:rPr>
          <w:rFonts w:ascii="Times New Roman" w:eastAsia="Times New Roman" w:hAnsi="Times New Roman" w:cs="Times New Roman"/>
          <w:b/>
          <w:bCs/>
          <w:sz w:val="24"/>
          <w:szCs w:val="24"/>
          <w:lang w:eastAsia="tr-TR"/>
        </w:rPr>
        <w:t>karşılaştırmalı tablolar</w:t>
      </w:r>
      <w:r w:rsidRPr="009147BF">
        <w:rPr>
          <w:rFonts w:ascii="Times New Roman" w:eastAsia="Times New Roman" w:hAnsi="Times New Roman" w:cs="Times New Roman"/>
          <w:sz w:val="24"/>
          <w:szCs w:val="24"/>
          <w:lang w:eastAsia="tr-TR"/>
        </w:rPr>
        <w:t xml:space="preserve"> ile desteklenmesi,</w:t>
      </w:r>
    </w:p>
    <w:p w14:paraId="7B0EFA4E" w14:textId="77777777" w:rsidR="009147BF" w:rsidRPr="009147BF" w:rsidRDefault="009147BF" w:rsidP="009147B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 xml:space="preserve">Muafiyet ve istisna konularının </w:t>
      </w:r>
      <w:r w:rsidRPr="009147BF">
        <w:rPr>
          <w:rFonts w:ascii="Times New Roman" w:eastAsia="Times New Roman" w:hAnsi="Times New Roman" w:cs="Times New Roman"/>
          <w:b/>
          <w:bCs/>
          <w:sz w:val="24"/>
          <w:szCs w:val="24"/>
          <w:lang w:eastAsia="tr-TR"/>
        </w:rPr>
        <w:t>uygulamaya dayalı örneklerle</w:t>
      </w:r>
      <w:r w:rsidRPr="009147BF">
        <w:rPr>
          <w:rFonts w:ascii="Times New Roman" w:eastAsia="Times New Roman" w:hAnsi="Times New Roman" w:cs="Times New Roman"/>
          <w:sz w:val="24"/>
          <w:szCs w:val="24"/>
          <w:lang w:eastAsia="tr-TR"/>
        </w:rPr>
        <w:t xml:space="preserve"> pekiştirilmesi.</w:t>
      </w:r>
    </w:p>
    <w:p w14:paraId="08A57235" w14:textId="77777777" w:rsidR="009147BF" w:rsidRPr="009147BF" w:rsidRDefault="009147BF" w:rsidP="009147B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147BF">
        <w:rPr>
          <w:rFonts w:ascii="Times New Roman" w:eastAsia="Times New Roman" w:hAnsi="Times New Roman" w:cs="Times New Roman"/>
          <w:sz w:val="24"/>
          <w:szCs w:val="24"/>
          <w:lang w:eastAsia="tr-TR"/>
        </w:rPr>
        <w:t>Bu çalışmalarla öğrencilerin vergi sistemine ilişkin kavramsal ve uygulamalı bilgi düzeylerinin daha da artırılması mümkün olacaktır.</w:t>
      </w:r>
    </w:p>
    <w:p w14:paraId="4E1B1612" w14:textId="77777777" w:rsidR="003A74A6" w:rsidRPr="009147BF" w:rsidRDefault="003A74A6" w:rsidP="009147BF">
      <w:pPr>
        <w:jc w:val="both"/>
      </w:pPr>
    </w:p>
    <w:sectPr w:rsidR="003A74A6" w:rsidRPr="00914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779"/>
    <w:multiLevelType w:val="multilevel"/>
    <w:tmpl w:val="3AC6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84655"/>
    <w:multiLevelType w:val="multilevel"/>
    <w:tmpl w:val="C9B8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63834"/>
    <w:multiLevelType w:val="multilevel"/>
    <w:tmpl w:val="E5E8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9412F4"/>
    <w:multiLevelType w:val="multilevel"/>
    <w:tmpl w:val="9CE8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665495">
    <w:abstractNumId w:val="3"/>
  </w:num>
  <w:num w:numId="2" w16cid:durableId="945844018">
    <w:abstractNumId w:val="1"/>
  </w:num>
  <w:num w:numId="3" w16cid:durableId="1048066415">
    <w:abstractNumId w:val="2"/>
  </w:num>
  <w:num w:numId="4" w16cid:durableId="550726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8D"/>
    <w:rsid w:val="0031318D"/>
    <w:rsid w:val="003A74A6"/>
    <w:rsid w:val="009147BF"/>
    <w:rsid w:val="00A945D8"/>
    <w:rsid w:val="00AD7097"/>
    <w:rsid w:val="00CC09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029D"/>
  <w15:docId w15:val="{564FFE38-001E-4D5C-8B59-2FF033CF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31318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31318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1318D"/>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31318D"/>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31318D"/>
    <w:rPr>
      <w:b/>
      <w:bCs/>
    </w:rPr>
  </w:style>
  <w:style w:type="paragraph" w:styleId="NormalWeb">
    <w:name w:val="Normal (Web)"/>
    <w:basedOn w:val="Normal"/>
    <w:uiPriority w:val="99"/>
    <w:semiHidden/>
    <w:unhideWhenUsed/>
    <w:rsid w:val="0031318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036093">
      <w:bodyDiv w:val="1"/>
      <w:marLeft w:val="0"/>
      <w:marRight w:val="0"/>
      <w:marTop w:val="0"/>
      <w:marBottom w:val="0"/>
      <w:divBdr>
        <w:top w:val="none" w:sz="0" w:space="0" w:color="auto"/>
        <w:left w:val="none" w:sz="0" w:space="0" w:color="auto"/>
        <w:bottom w:val="none" w:sz="0" w:space="0" w:color="auto"/>
        <w:right w:val="none" w:sz="0" w:space="0" w:color="auto"/>
      </w:divBdr>
      <w:divsChild>
        <w:div w:id="1613633372">
          <w:marLeft w:val="0"/>
          <w:marRight w:val="0"/>
          <w:marTop w:val="0"/>
          <w:marBottom w:val="0"/>
          <w:divBdr>
            <w:top w:val="none" w:sz="0" w:space="0" w:color="auto"/>
            <w:left w:val="none" w:sz="0" w:space="0" w:color="auto"/>
            <w:bottom w:val="none" w:sz="0" w:space="0" w:color="auto"/>
            <w:right w:val="none" w:sz="0" w:space="0" w:color="auto"/>
          </w:divBdr>
          <w:divsChild>
            <w:div w:id="46335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29441">
      <w:bodyDiv w:val="1"/>
      <w:marLeft w:val="0"/>
      <w:marRight w:val="0"/>
      <w:marTop w:val="0"/>
      <w:marBottom w:val="0"/>
      <w:divBdr>
        <w:top w:val="none" w:sz="0" w:space="0" w:color="auto"/>
        <w:left w:val="none" w:sz="0" w:space="0" w:color="auto"/>
        <w:bottom w:val="none" w:sz="0" w:space="0" w:color="auto"/>
        <w:right w:val="none" w:sz="0" w:space="0" w:color="auto"/>
      </w:divBdr>
      <w:divsChild>
        <w:div w:id="978070282">
          <w:marLeft w:val="0"/>
          <w:marRight w:val="0"/>
          <w:marTop w:val="0"/>
          <w:marBottom w:val="0"/>
          <w:divBdr>
            <w:top w:val="none" w:sz="0" w:space="0" w:color="auto"/>
            <w:left w:val="none" w:sz="0" w:space="0" w:color="auto"/>
            <w:bottom w:val="none" w:sz="0" w:space="0" w:color="auto"/>
            <w:right w:val="none" w:sz="0" w:space="0" w:color="auto"/>
          </w:divBdr>
          <w:divsChild>
            <w:div w:id="3411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özsoy</dc:creator>
  <cp:lastModifiedBy>İREM DOĞAN</cp:lastModifiedBy>
  <cp:revision>2</cp:revision>
  <dcterms:created xsi:type="dcterms:W3CDTF">2026-02-05T11:51:00Z</dcterms:created>
  <dcterms:modified xsi:type="dcterms:W3CDTF">2026-02-05T11:51:00Z</dcterms:modified>
</cp:coreProperties>
</file>