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063" w:right="1034" w:hanging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AYNİYAT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BİRİMİ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KDYS.GT.0051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Şef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Taşınır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Kayıt</w:t>
            </w:r>
            <w:r>
              <w:rPr>
                <w:spacing w:val="-2"/>
                <w:sz w:val="22"/>
              </w:rPr>
              <w:t> Yetkilisi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472440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540001pt;width:516.9500pt;height:18.850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76" w:lineRule="auto" w:before="0" w:after="0"/>
        <w:ind w:left="646" w:right="143" w:hanging="361"/>
        <w:jc w:val="both"/>
        <w:rPr>
          <w:sz w:val="22"/>
        </w:rPr>
      </w:pPr>
      <w:r>
        <w:rPr>
          <w:sz w:val="22"/>
        </w:rPr>
        <w:t>Harcama birimlerince edinilen taşınırlardan muayene ve kabulü yapılanları cins ve niteliklerine göre sayarak, tartarak, ölçerek teslim almak, doğrudan tüketilmeyen ve kullanıma verilmeyen taşınırları sorumluluğundaki ambarlarda muhafaza etmek.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73" w:lineRule="auto" w:before="0" w:after="0"/>
        <w:ind w:left="646" w:right="141" w:hanging="361"/>
        <w:jc w:val="both"/>
        <w:rPr>
          <w:sz w:val="22"/>
        </w:rPr>
      </w:pPr>
      <w:r>
        <w:rPr>
          <w:sz w:val="22"/>
        </w:rPr>
        <w:t>Muayene ve kabul işlemi hemen yapılamayan taşınırları kontrol ederek teslim almak ve kesin kabulü yapılmadan kullanıma verilmesini önlemek.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73" w:lineRule="auto" w:before="0" w:after="0"/>
        <w:ind w:left="646" w:right="143" w:hanging="361"/>
        <w:jc w:val="both"/>
        <w:rPr>
          <w:sz w:val="22"/>
        </w:rPr>
      </w:pPr>
      <w:r>
        <w:rPr>
          <w:sz w:val="22"/>
        </w:rPr>
        <w:t>Taşınırların giriş ve çıkışına ilişkin kayıtları tutmak, bunlara ilişkin belge ve cetvelleri düzenlemek ve taşınır mal yönetim hesap cetvellerini ilgili birimlere göndermek.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</w:tabs>
        <w:spacing w:line="240" w:lineRule="auto" w:before="2" w:after="0"/>
        <w:ind w:left="644" w:right="0" w:hanging="359"/>
        <w:jc w:val="both"/>
        <w:rPr>
          <w:sz w:val="22"/>
        </w:rPr>
      </w:pPr>
      <w:r>
        <w:rPr>
          <w:sz w:val="22"/>
        </w:rPr>
        <w:t>Giriş</w:t>
      </w:r>
      <w:r>
        <w:rPr>
          <w:spacing w:val="-8"/>
          <w:sz w:val="22"/>
        </w:rPr>
        <w:t> </w:t>
      </w:r>
      <w:r>
        <w:rPr>
          <w:sz w:val="22"/>
        </w:rPr>
        <w:t>kaydı</w:t>
      </w:r>
      <w:r>
        <w:rPr>
          <w:spacing w:val="-4"/>
          <w:sz w:val="22"/>
        </w:rPr>
        <w:t> </w:t>
      </w:r>
      <w:r>
        <w:rPr>
          <w:sz w:val="22"/>
        </w:rPr>
        <w:t>yapılan</w:t>
      </w:r>
      <w:r>
        <w:rPr>
          <w:spacing w:val="-8"/>
          <w:sz w:val="22"/>
        </w:rPr>
        <w:t> </w:t>
      </w:r>
      <w:r>
        <w:rPr>
          <w:sz w:val="22"/>
        </w:rPr>
        <w:t>dayanıklı</w:t>
      </w:r>
      <w:r>
        <w:rPr>
          <w:spacing w:val="-7"/>
          <w:sz w:val="22"/>
        </w:rPr>
        <w:t> </w:t>
      </w:r>
      <w:r>
        <w:rPr>
          <w:sz w:val="22"/>
        </w:rPr>
        <w:t>taşınırların</w:t>
      </w:r>
      <w:r>
        <w:rPr>
          <w:spacing w:val="-5"/>
          <w:sz w:val="22"/>
        </w:rPr>
        <w:t> </w:t>
      </w:r>
      <w:r>
        <w:rPr>
          <w:sz w:val="22"/>
        </w:rPr>
        <w:t>sicil</w:t>
      </w:r>
      <w:r>
        <w:rPr>
          <w:spacing w:val="-8"/>
          <w:sz w:val="22"/>
        </w:rPr>
        <w:t> </w:t>
      </w:r>
      <w:r>
        <w:rPr>
          <w:sz w:val="22"/>
        </w:rPr>
        <w:t>numarası</w:t>
      </w:r>
      <w:r>
        <w:rPr>
          <w:spacing w:val="-7"/>
          <w:sz w:val="22"/>
        </w:rPr>
        <w:t> </w:t>
      </w:r>
      <w:r>
        <w:rPr>
          <w:sz w:val="22"/>
        </w:rPr>
        <w:t>verilerek</w:t>
      </w:r>
      <w:r>
        <w:rPr>
          <w:spacing w:val="-7"/>
          <w:sz w:val="22"/>
        </w:rPr>
        <w:t> </w:t>
      </w:r>
      <w:r>
        <w:rPr>
          <w:sz w:val="22"/>
        </w:rPr>
        <w:t>kayıt</w:t>
      </w:r>
      <w:r>
        <w:rPr>
          <w:spacing w:val="-7"/>
          <w:sz w:val="22"/>
        </w:rPr>
        <w:t> </w:t>
      </w:r>
      <w:r>
        <w:rPr>
          <w:sz w:val="22"/>
        </w:rPr>
        <w:t>altına</w:t>
      </w:r>
      <w:r>
        <w:rPr>
          <w:spacing w:val="-6"/>
          <w:sz w:val="22"/>
        </w:rPr>
        <w:t> </w:t>
      </w:r>
      <w:r>
        <w:rPr>
          <w:sz w:val="22"/>
        </w:rPr>
        <w:t>alınmasını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</w:tabs>
        <w:spacing w:line="240" w:lineRule="auto" w:before="38" w:after="0"/>
        <w:ind w:left="644" w:right="0" w:hanging="359"/>
        <w:jc w:val="both"/>
        <w:rPr>
          <w:sz w:val="22"/>
        </w:rPr>
      </w:pPr>
      <w:r>
        <w:rPr>
          <w:sz w:val="22"/>
        </w:rPr>
        <w:t>Tüketime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kullanıma</w:t>
      </w:r>
      <w:r>
        <w:rPr>
          <w:spacing w:val="-5"/>
          <w:sz w:val="22"/>
        </w:rPr>
        <w:t> </w:t>
      </w:r>
      <w:r>
        <w:rPr>
          <w:sz w:val="22"/>
        </w:rPr>
        <w:t>verilmesi</w:t>
      </w:r>
      <w:r>
        <w:rPr>
          <w:spacing w:val="-5"/>
          <w:sz w:val="22"/>
        </w:rPr>
        <w:t> </w:t>
      </w:r>
      <w:r>
        <w:rPr>
          <w:sz w:val="22"/>
        </w:rPr>
        <w:t>uygun</w:t>
      </w:r>
      <w:r>
        <w:rPr>
          <w:spacing w:val="-5"/>
          <w:sz w:val="22"/>
        </w:rPr>
        <w:t> </w:t>
      </w:r>
      <w:r>
        <w:rPr>
          <w:sz w:val="22"/>
        </w:rPr>
        <w:t>görülen</w:t>
      </w:r>
      <w:r>
        <w:rPr>
          <w:spacing w:val="-6"/>
          <w:sz w:val="22"/>
        </w:rPr>
        <w:t> </w:t>
      </w:r>
      <w:r>
        <w:rPr>
          <w:sz w:val="22"/>
        </w:rPr>
        <w:t>taşınırları</w:t>
      </w:r>
      <w:r>
        <w:rPr>
          <w:spacing w:val="-7"/>
          <w:sz w:val="22"/>
        </w:rPr>
        <w:t> </w:t>
      </w:r>
      <w:r>
        <w:rPr>
          <w:sz w:val="22"/>
        </w:rPr>
        <w:t>ilgililere</w:t>
      </w:r>
      <w:r>
        <w:rPr>
          <w:spacing w:val="-6"/>
          <w:sz w:val="22"/>
        </w:rPr>
        <w:t> </w:t>
      </w:r>
      <w:r>
        <w:rPr>
          <w:sz w:val="22"/>
        </w:rPr>
        <w:t>teslim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73" w:lineRule="auto" w:before="35" w:after="0"/>
        <w:ind w:left="646" w:right="145" w:hanging="361"/>
        <w:jc w:val="left"/>
        <w:rPr>
          <w:sz w:val="22"/>
        </w:rPr>
      </w:pPr>
      <w:r>
        <w:rPr>
          <w:sz w:val="22"/>
        </w:rPr>
        <w:t>Birimlerden</w:t>
      </w:r>
      <w:r>
        <w:rPr>
          <w:spacing w:val="40"/>
          <w:sz w:val="22"/>
        </w:rPr>
        <w:t> </w:t>
      </w:r>
      <w:r>
        <w:rPr>
          <w:sz w:val="22"/>
        </w:rPr>
        <w:t>iade</w:t>
      </w:r>
      <w:r>
        <w:rPr>
          <w:spacing w:val="40"/>
          <w:sz w:val="22"/>
        </w:rPr>
        <w:t> </w:t>
      </w:r>
      <w:r>
        <w:rPr>
          <w:sz w:val="22"/>
        </w:rPr>
        <w:t>edilen</w:t>
      </w:r>
      <w:r>
        <w:rPr>
          <w:spacing w:val="40"/>
          <w:sz w:val="22"/>
        </w:rPr>
        <w:t> </w:t>
      </w:r>
      <w:r>
        <w:rPr>
          <w:sz w:val="22"/>
        </w:rPr>
        <w:t>demirbaş</w:t>
      </w:r>
      <w:r>
        <w:rPr>
          <w:spacing w:val="40"/>
          <w:sz w:val="22"/>
        </w:rPr>
        <w:t> </w:t>
      </w:r>
      <w:r>
        <w:rPr>
          <w:sz w:val="22"/>
        </w:rPr>
        <w:t>malzemeleri</w:t>
      </w:r>
      <w:r>
        <w:rPr>
          <w:spacing w:val="40"/>
          <w:sz w:val="22"/>
        </w:rPr>
        <w:t> </w:t>
      </w:r>
      <w:r>
        <w:rPr>
          <w:sz w:val="22"/>
        </w:rPr>
        <w:t>almak,</w:t>
      </w:r>
      <w:r>
        <w:rPr>
          <w:spacing w:val="40"/>
          <w:sz w:val="22"/>
        </w:rPr>
        <w:t> </w:t>
      </w:r>
      <w:r>
        <w:rPr>
          <w:sz w:val="22"/>
        </w:rPr>
        <w:t>bozuk</w:t>
      </w:r>
      <w:r>
        <w:rPr>
          <w:spacing w:val="40"/>
          <w:sz w:val="22"/>
        </w:rPr>
        <w:t> </w:t>
      </w:r>
      <w:r>
        <w:rPr>
          <w:sz w:val="22"/>
        </w:rPr>
        <w:t>veya</w:t>
      </w:r>
      <w:r>
        <w:rPr>
          <w:spacing w:val="40"/>
          <w:sz w:val="22"/>
        </w:rPr>
        <w:t> </w:t>
      </w:r>
      <w:r>
        <w:rPr>
          <w:sz w:val="22"/>
        </w:rPr>
        <w:t>tamiri</w:t>
      </w:r>
      <w:r>
        <w:rPr>
          <w:spacing w:val="38"/>
          <w:sz w:val="22"/>
        </w:rPr>
        <w:t> </w:t>
      </w:r>
      <w:r>
        <w:rPr>
          <w:sz w:val="22"/>
        </w:rPr>
        <w:t>mümkün</w:t>
      </w:r>
      <w:r>
        <w:rPr>
          <w:spacing w:val="40"/>
          <w:sz w:val="22"/>
        </w:rPr>
        <w:t> </w:t>
      </w:r>
      <w:r>
        <w:rPr>
          <w:sz w:val="22"/>
        </w:rPr>
        <w:t>olmayanları</w:t>
      </w:r>
      <w:r>
        <w:rPr>
          <w:spacing w:val="40"/>
          <w:sz w:val="22"/>
        </w:rPr>
        <w:t> </w:t>
      </w:r>
      <w:r>
        <w:rPr>
          <w:sz w:val="22"/>
        </w:rPr>
        <w:t>kayıtlardan silmek, hurdaya ayrılan malzemeleri imha etmek veya tutanakla teslim edilmesini sağlamak.</w:t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76" w:lineRule="auto" w:before="2" w:after="0"/>
        <w:ind w:left="646" w:right="144" w:hanging="361"/>
        <w:jc w:val="left"/>
        <w:rPr>
          <w:sz w:val="22"/>
        </w:rPr>
      </w:pPr>
      <w:r>
        <w:rPr>
          <w:sz w:val="22"/>
        </w:rPr>
        <w:t>Ambar sayımı ve stok kontrolünü yapmak, harcama yetkilisince belirlenen asgari stok seviyesinin altına düşen taşınırları bildirmek.</w:t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73" w:lineRule="auto" w:before="0" w:after="0"/>
        <w:ind w:left="646" w:right="144" w:hanging="361"/>
        <w:jc w:val="left"/>
        <w:rPr>
          <w:sz w:val="22"/>
        </w:rPr>
      </w:pPr>
      <w:r>
        <w:rPr>
          <w:sz w:val="22"/>
        </w:rPr>
        <w:t>Sorumlu olduğu depoların temiz ve düzenli olmasını sağlamak, kasıt, kusur, ihmal veya tedbirsizlik nedeniyle meydana gelebilecek kayıp ve zararları önleyici tedbirleri almak.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0" w:after="0"/>
        <w:ind w:left="645" w:right="0" w:hanging="360"/>
        <w:jc w:val="left"/>
        <w:rPr>
          <w:sz w:val="22"/>
        </w:rPr>
      </w:pPr>
      <w:r>
        <w:rPr>
          <w:sz w:val="22"/>
        </w:rPr>
        <w:t>Üçer</w:t>
      </w:r>
      <w:r>
        <w:rPr>
          <w:spacing w:val="-5"/>
          <w:sz w:val="22"/>
        </w:rPr>
        <w:t> </w:t>
      </w:r>
      <w:r>
        <w:rPr>
          <w:sz w:val="22"/>
        </w:rPr>
        <w:t>aylık</w:t>
      </w:r>
      <w:r>
        <w:rPr>
          <w:spacing w:val="-5"/>
          <w:sz w:val="22"/>
        </w:rPr>
        <w:t> </w:t>
      </w:r>
      <w:r>
        <w:rPr>
          <w:sz w:val="22"/>
        </w:rPr>
        <w:t>tüketim</w:t>
      </w:r>
      <w:r>
        <w:rPr>
          <w:spacing w:val="-4"/>
          <w:sz w:val="22"/>
        </w:rPr>
        <w:t> </w:t>
      </w:r>
      <w:r>
        <w:rPr>
          <w:sz w:val="22"/>
        </w:rPr>
        <w:t>çıkış</w:t>
      </w:r>
      <w:r>
        <w:rPr>
          <w:spacing w:val="-5"/>
          <w:sz w:val="22"/>
        </w:rPr>
        <w:t> </w:t>
      </w:r>
      <w:r>
        <w:rPr>
          <w:sz w:val="22"/>
        </w:rPr>
        <w:t>raporlarını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hazırlamak.</w:t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73" w:lineRule="auto" w:before="37" w:after="0"/>
        <w:ind w:left="646" w:right="143" w:hanging="361"/>
        <w:jc w:val="left"/>
        <w:rPr>
          <w:sz w:val="22"/>
        </w:rPr>
      </w:pPr>
      <w:r>
        <w:rPr>
          <w:sz w:val="22"/>
        </w:rPr>
        <w:t>Yılsonu itibariyle taşınır malların giriş-çıkış kayıtlarının ve demirbaş eşyaların kesin hesaplarının hazırlanarak ilgili birimlere gönderilmesini sağlamak.</w:t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73" w:lineRule="auto" w:before="2" w:after="0"/>
        <w:ind w:left="646" w:right="146" w:hanging="361"/>
        <w:jc w:val="left"/>
        <w:rPr>
          <w:sz w:val="22"/>
        </w:rPr>
      </w:pPr>
      <w:r>
        <w:rPr>
          <w:sz w:val="22"/>
        </w:rPr>
        <w:t>Çalışma ortamında iş sağlığı ve güvenliği ile ilgili hususlara dikkat etmek, mevcut elektrikli aletlerde gerekli</w:t>
      </w:r>
      <w:r>
        <w:rPr>
          <w:spacing w:val="40"/>
          <w:sz w:val="22"/>
        </w:rPr>
        <w:t> </w:t>
      </w:r>
      <w:r>
        <w:rPr>
          <w:sz w:val="22"/>
        </w:rPr>
        <w:t>kontrolleri yapmak, kapı-pencerelerin mesai dışı saatlerde kapalı tutulmasını sağlamak.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2" w:after="0"/>
        <w:ind w:left="645" w:right="0" w:hanging="360"/>
        <w:jc w:val="left"/>
        <w:rPr>
          <w:sz w:val="22"/>
        </w:rPr>
      </w:pPr>
      <w:r>
        <w:rPr>
          <w:sz w:val="22"/>
        </w:rPr>
        <w:t>Sorumluluk</w:t>
      </w:r>
      <w:r>
        <w:rPr>
          <w:spacing w:val="-8"/>
          <w:sz w:val="22"/>
        </w:rPr>
        <w:t> </w:t>
      </w:r>
      <w:r>
        <w:rPr>
          <w:sz w:val="22"/>
        </w:rPr>
        <w:t>alanındaki</w:t>
      </w:r>
      <w:r>
        <w:rPr>
          <w:spacing w:val="-8"/>
          <w:sz w:val="22"/>
        </w:rPr>
        <w:t> </w:t>
      </w:r>
      <w:r>
        <w:rPr>
          <w:sz w:val="22"/>
        </w:rPr>
        <w:t>yazışmaları</w:t>
      </w:r>
      <w:r>
        <w:rPr>
          <w:spacing w:val="-4"/>
          <w:sz w:val="22"/>
        </w:rPr>
        <w:t> </w:t>
      </w:r>
      <w:r>
        <w:rPr>
          <w:sz w:val="22"/>
        </w:rPr>
        <w:t>yürütmek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birimiyle</w:t>
      </w:r>
      <w:r>
        <w:rPr>
          <w:spacing w:val="-8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yazıları</w:t>
      </w:r>
      <w:r>
        <w:rPr>
          <w:spacing w:val="-8"/>
          <w:sz w:val="22"/>
        </w:rPr>
        <w:t> </w:t>
      </w:r>
      <w:r>
        <w:rPr>
          <w:sz w:val="22"/>
        </w:rPr>
        <w:t>teslim</w:t>
      </w:r>
      <w:r>
        <w:rPr>
          <w:spacing w:val="-7"/>
          <w:sz w:val="22"/>
        </w:rPr>
        <w:t> </w:t>
      </w:r>
      <w:r>
        <w:rPr>
          <w:sz w:val="22"/>
        </w:rPr>
        <w:t>almak,</w:t>
      </w:r>
      <w:r>
        <w:rPr>
          <w:spacing w:val="-6"/>
          <w:sz w:val="22"/>
        </w:rPr>
        <w:t> </w:t>
      </w:r>
      <w:r>
        <w:rPr>
          <w:sz w:val="22"/>
        </w:rPr>
        <w:t>tutanakları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imzalamak.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7" w:after="0"/>
        <w:ind w:left="645" w:right="0" w:hanging="360"/>
        <w:jc w:val="left"/>
        <w:rPr>
          <w:sz w:val="22"/>
        </w:rPr>
      </w:pPr>
      <w:r>
        <w:rPr>
          <w:sz w:val="22"/>
        </w:rPr>
        <w:t>Kayıtlarını</w:t>
      </w:r>
      <w:r>
        <w:rPr>
          <w:spacing w:val="-6"/>
          <w:sz w:val="22"/>
        </w:rPr>
        <w:t> </w:t>
      </w:r>
      <w:r>
        <w:rPr>
          <w:sz w:val="22"/>
        </w:rPr>
        <w:t>tuttuğu</w:t>
      </w:r>
      <w:r>
        <w:rPr>
          <w:spacing w:val="-8"/>
          <w:sz w:val="22"/>
        </w:rPr>
        <w:t> </w:t>
      </w:r>
      <w:r>
        <w:rPr>
          <w:sz w:val="22"/>
        </w:rPr>
        <w:t>taşınırların</w:t>
      </w:r>
      <w:r>
        <w:rPr>
          <w:spacing w:val="-6"/>
          <w:sz w:val="22"/>
        </w:rPr>
        <w:t> </w:t>
      </w:r>
      <w:r>
        <w:rPr>
          <w:sz w:val="22"/>
        </w:rPr>
        <w:t>yönetim</w:t>
      </w:r>
      <w:r>
        <w:rPr>
          <w:spacing w:val="-6"/>
          <w:sz w:val="22"/>
        </w:rPr>
        <w:t> </w:t>
      </w:r>
      <w:r>
        <w:rPr>
          <w:sz w:val="22"/>
        </w:rPr>
        <w:t>hesabını</w:t>
      </w:r>
      <w:r>
        <w:rPr>
          <w:spacing w:val="-7"/>
          <w:sz w:val="22"/>
        </w:rPr>
        <w:t> </w:t>
      </w:r>
      <w:r>
        <w:rPr>
          <w:sz w:val="22"/>
        </w:rPr>
        <w:t>hazırlamak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harcama</w:t>
      </w:r>
      <w:r>
        <w:rPr>
          <w:spacing w:val="-6"/>
          <w:sz w:val="22"/>
        </w:rPr>
        <w:t> </w:t>
      </w:r>
      <w:r>
        <w:rPr>
          <w:sz w:val="22"/>
        </w:rPr>
        <w:t>yetkilisine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sunmak.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8" w:after="0"/>
        <w:ind w:left="645" w:right="0" w:hanging="360"/>
        <w:jc w:val="left"/>
        <w:rPr>
          <w:sz w:val="22"/>
        </w:rPr>
      </w:pPr>
      <w:r>
        <w:rPr>
          <w:sz w:val="22"/>
        </w:rPr>
        <w:t>Sorumlu</w:t>
      </w:r>
      <w:r>
        <w:rPr>
          <w:spacing w:val="-6"/>
          <w:sz w:val="22"/>
        </w:rPr>
        <w:t> </w:t>
      </w:r>
      <w:r>
        <w:rPr>
          <w:sz w:val="22"/>
        </w:rPr>
        <w:t>olduğu</w:t>
      </w:r>
      <w:r>
        <w:rPr>
          <w:spacing w:val="-4"/>
          <w:sz w:val="22"/>
        </w:rPr>
        <w:t> </w:t>
      </w:r>
      <w:r>
        <w:rPr>
          <w:sz w:val="22"/>
        </w:rPr>
        <w:t>depoları</w:t>
      </w:r>
      <w:r>
        <w:rPr>
          <w:spacing w:val="-5"/>
          <w:sz w:val="22"/>
        </w:rPr>
        <w:t> </w:t>
      </w:r>
      <w:r>
        <w:rPr>
          <w:sz w:val="22"/>
        </w:rPr>
        <w:t>devir</w:t>
      </w:r>
      <w:r>
        <w:rPr>
          <w:spacing w:val="-6"/>
          <w:sz w:val="22"/>
        </w:rPr>
        <w:t> </w:t>
      </w:r>
      <w:r>
        <w:rPr>
          <w:sz w:val="22"/>
        </w:rPr>
        <w:t>teslim</w:t>
      </w:r>
      <w:r>
        <w:rPr>
          <w:spacing w:val="-5"/>
          <w:sz w:val="22"/>
        </w:rPr>
        <w:t> </w:t>
      </w:r>
      <w:r>
        <w:rPr>
          <w:sz w:val="22"/>
        </w:rPr>
        <w:t>yapmadan</w:t>
      </w:r>
      <w:r>
        <w:rPr>
          <w:spacing w:val="-4"/>
          <w:sz w:val="22"/>
        </w:rPr>
        <w:t> </w:t>
      </w:r>
      <w:r>
        <w:rPr>
          <w:sz w:val="22"/>
        </w:rPr>
        <w:t>görevinden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ayrılmamak.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8" w:after="0"/>
        <w:ind w:left="645" w:right="0" w:hanging="360"/>
        <w:jc w:val="left"/>
        <w:rPr>
          <w:sz w:val="22"/>
        </w:rPr>
      </w:pPr>
      <w:r>
        <w:rPr>
          <w:sz w:val="22"/>
        </w:rPr>
        <w:t>Ambarlarda</w:t>
      </w:r>
      <w:r>
        <w:rPr>
          <w:spacing w:val="-8"/>
          <w:sz w:val="22"/>
        </w:rPr>
        <w:t> </w:t>
      </w:r>
      <w:r>
        <w:rPr>
          <w:sz w:val="22"/>
        </w:rPr>
        <w:t>meydana</w:t>
      </w:r>
      <w:r>
        <w:rPr>
          <w:spacing w:val="-6"/>
          <w:sz w:val="22"/>
        </w:rPr>
        <w:t> </w:t>
      </w:r>
      <w:r>
        <w:rPr>
          <w:sz w:val="22"/>
        </w:rPr>
        <w:t>gelen</w:t>
      </w:r>
      <w:r>
        <w:rPr>
          <w:spacing w:val="-5"/>
          <w:sz w:val="22"/>
        </w:rPr>
        <w:t> </w:t>
      </w:r>
      <w:r>
        <w:rPr>
          <w:sz w:val="22"/>
        </w:rPr>
        <w:t>kayıp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noksanlıklardan</w:t>
      </w:r>
      <w:r>
        <w:rPr>
          <w:spacing w:val="-4"/>
          <w:sz w:val="22"/>
        </w:rPr>
        <w:t> </w:t>
      </w:r>
      <w:r>
        <w:rPr>
          <w:sz w:val="22"/>
        </w:rPr>
        <w:t>sorumlu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5" w:after="0"/>
        <w:ind w:left="645" w:right="0" w:hanging="360"/>
        <w:jc w:val="left"/>
        <w:rPr>
          <w:sz w:val="22"/>
        </w:rPr>
      </w:pPr>
      <w:r>
        <w:rPr>
          <w:sz w:val="22"/>
        </w:rPr>
        <w:t>KBS,</w:t>
      </w:r>
      <w:r>
        <w:rPr>
          <w:spacing w:val="-5"/>
          <w:sz w:val="22"/>
        </w:rPr>
        <w:t> </w:t>
      </w:r>
      <w:r>
        <w:rPr>
          <w:sz w:val="22"/>
        </w:rPr>
        <w:t>EBYS,</w:t>
      </w:r>
      <w:r>
        <w:rPr>
          <w:spacing w:val="-4"/>
          <w:sz w:val="22"/>
        </w:rPr>
        <w:t> </w:t>
      </w:r>
      <w:r>
        <w:rPr>
          <w:sz w:val="22"/>
        </w:rPr>
        <w:t>E-Bütçe</w:t>
      </w:r>
      <w:r>
        <w:rPr>
          <w:spacing w:val="-4"/>
          <w:sz w:val="22"/>
        </w:rPr>
        <w:t> </w:t>
      </w:r>
      <w:r>
        <w:rPr>
          <w:sz w:val="22"/>
        </w:rPr>
        <w:t>sistemlerini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kullanmak.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8" w:after="0"/>
        <w:ind w:left="645" w:right="0" w:hanging="360"/>
        <w:jc w:val="left"/>
        <w:rPr>
          <w:sz w:val="22"/>
        </w:rPr>
      </w:pPr>
      <w:r>
        <w:rPr>
          <w:sz w:val="22"/>
        </w:rPr>
        <w:t>Dekan,</w:t>
      </w:r>
      <w:r>
        <w:rPr>
          <w:spacing w:val="-7"/>
          <w:sz w:val="22"/>
        </w:rPr>
        <w:t> </w:t>
      </w:r>
      <w:r>
        <w:rPr>
          <w:sz w:val="22"/>
        </w:rPr>
        <w:t>Dekan</w:t>
      </w:r>
      <w:r>
        <w:rPr>
          <w:spacing w:val="-5"/>
          <w:sz w:val="22"/>
        </w:rPr>
        <w:t> </w:t>
      </w:r>
      <w:r>
        <w:rPr>
          <w:sz w:val="22"/>
        </w:rPr>
        <w:t>Yardımcısı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6"/>
          <w:sz w:val="22"/>
        </w:rPr>
        <w:t> </w:t>
      </w:r>
      <w:r>
        <w:rPr>
          <w:sz w:val="22"/>
        </w:rPr>
        <w:t>Sekreteri</w:t>
      </w:r>
      <w:r>
        <w:rPr>
          <w:spacing w:val="-4"/>
          <w:sz w:val="22"/>
        </w:rPr>
        <w:t> </w:t>
      </w:r>
      <w:r>
        <w:rPr>
          <w:sz w:val="22"/>
        </w:rPr>
        <w:t>tarafından</w:t>
      </w:r>
      <w:r>
        <w:rPr>
          <w:spacing w:val="-4"/>
          <w:sz w:val="22"/>
        </w:rPr>
        <w:t> </w:t>
      </w:r>
      <w:r>
        <w:rPr>
          <w:sz w:val="22"/>
        </w:rPr>
        <w:t>verilecek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6"/>
          <w:sz w:val="22"/>
        </w:rPr>
        <w:t> </w:t>
      </w:r>
      <w:r>
        <w:rPr>
          <w:sz w:val="22"/>
        </w:rPr>
        <w:t>görevleri</w:t>
      </w:r>
      <w:r>
        <w:rPr>
          <w:spacing w:val="-7"/>
          <w:sz w:val="22"/>
        </w:rPr>
        <w:t> </w:t>
      </w:r>
      <w:r>
        <w:rPr>
          <w:sz w:val="22"/>
        </w:rPr>
        <w:t>yerine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69" w:lineRule="exact" w:before="38" w:after="0"/>
        <w:ind w:left="645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69" w:lineRule="exact" w:before="0" w:after="0"/>
        <w:ind w:left="645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2124" w:top="680" w:bottom="232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679704</wp:posOffset>
              </wp:positionH>
              <wp:positionV relativeFrom="page">
                <wp:posOffset>9213850</wp:posOffset>
              </wp:positionV>
              <wp:extent cx="6397625" cy="2451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97625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716"/>
                            <w:gridCol w:w="6229"/>
                          </w:tblGrid>
                          <w:tr>
                            <w:trPr>
                              <w:trHeight w:val="366" w:hRule="atLeast"/>
                            </w:trPr>
                            <w:tc>
                              <w:tcPr>
                                <w:tcW w:w="3716" w:type="dxa"/>
                              </w:tcPr>
                              <w:p>
                                <w:pPr>
                                  <w:pStyle w:val="TableParagraph"/>
                                  <w:spacing w:before="56"/>
                                  <w:ind w:left="108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29" w:type="dxa"/>
                              </w:tcPr>
                              <w:p>
                                <w:pPr>
                                  <w:pStyle w:val="TableParagraph"/>
                                  <w:spacing w:before="56"/>
                                  <w:ind w:left="105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.52pt;margin-top:725.5pt;width:503.75pt;height:19.3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716"/>
                      <w:gridCol w:w="6229"/>
                    </w:tblGrid>
                    <w:tr>
                      <w:trPr>
                        <w:trHeight w:val="366" w:hRule="atLeast"/>
                      </w:trPr>
                      <w:tc>
                        <w:tcPr>
                          <w:tcW w:w="3716" w:type="dxa"/>
                        </w:tcPr>
                        <w:p>
                          <w:pPr>
                            <w:pStyle w:val="TableParagraph"/>
                            <w:spacing w:before="56"/>
                            <w:ind w:left="108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29" w:type="dxa"/>
                        </w:tcPr>
                        <w:p>
                          <w:pPr>
                            <w:pStyle w:val="TableParagraph"/>
                            <w:spacing w:before="56"/>
                            <w:ind w:left="105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ind w:left="0" w:firstLine="0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4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39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38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37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36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3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35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34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33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645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645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KYS.GT.0051_Fakulte_Tasinir_Kayit_Yetkilisi_Gorev_Tanimi</dc:title>
  <dcterms:created xsi:type="dcterms:W3CDTF">2025-12-09T09:24:46Z</dcterms:created>
  <dcterms:modified xsi:type="dcterms:W3CDTF">2025-12-09T09:24:46Z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