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EA" w:rsidRDefault="009911EA" w:rsidP="009911EA">
      <w:pPr>
        <w:jc w:val="both"/>
        <w:rPr>
          <w:b/>
          <w:sz w:val="24"/>
          <w:szCs w:val="24"/>
        </w:rPr>
      </w:pPr>
    </w:p>
    <w:p w:rsidR="000272E3" w:rsidRPr="009911EA" w:rsidRDefault="000272E3">
      <w:pPr>
        <w:rPr>
          <w:b/>
        </w:rPr>
      </w:pPr>
      <w:r w:rsidRPr="009911EA">
        <w:rPr>
          <w:b/>
        </w:rPr>
        <w:t>GENEL HÜKÜMLER</w:t>
      </w:r>
    </w:p>
    <w:p w:rsidR="000272E3" w:rsidRPr="009911EA" w:rsidRDefault="000272E3" w:rsidP="004650CB">
      <w:pPr>
        <w:jc w:val="both"/>
        <w:rPr>
          <w:b/>
          <w:i/>
        </w:rPr>
      </w:pPr>
      <w:r w:rsidRPr="009911EA">
        <w:rPr>
          <w:b/>
        </w:rPr>
        <w:t>Madde 1 -</w:t>
      </w:r>
      <w:r w:rsidRPr="009911EA">
        <w:t xml:space="preserve"> </w:t>
      </w:r>
      <w:r w:rsidR="009911EA" w:rsidRPr="009911EA">
        <w:rPr>
          <w:b/>
          <w:i/>
        </w:rPr>
        <w:t>Kamu kurum ve kuruluşlarına ait işletmelerde staj yapan öğrenciler ile öğretim programı gereği staj yapmak zorunda olmayan yükseköğretim kurumu öğrencilerinin</w:t>
      </w:r>
      <w:r w:rsidR="00A71999">
        <w:rPr>
          <w:b/>
          <w:i/>
        </w:rPr>
        <w:t xml:space="preserve"> yaptıkları stajlar</w:t>
      </w:r>
      <w:r w:rsidR="009911EA" w:rsidRPr="009911EA">
        <w:rPr>
          <w:b/>
          <w:i/>
        </w:rPr>
        <w:t xml:space="preserve"> için bu sözleşme düzenlenmez.</w:t>
      </w:r>
    </w:p>
    <w:p w:rsidR="009911EA" w:rsidRPr="009911EA" w:rsidRDefault="009911EA" w:rsidP="009911EA">
      <w:pPr>
        <w:jc w:val="both"/>
      </w:pPr>
      <w:r w:rsidRPr="009911EA">
        <w:rPr>
          <w:b/>
        </w:rPr>
        <w:t>Madde 2 -</w:t>
      </w:r>
      <w:r w:rsidRPr="009911EA">
        <w:t xml:space="preserve"> Bu sözleşme, 3308 sayılı Meslek Eğitim Kanununa uygun olarak, Balıkesir Üniversitesi Fen-Edebiyat Fakültesi öğrencilerinin işletmelerde yapılacak Staj Eğitiminin esaslarını düzenlemek amacıyla Balıkesir Üniversitesi Fen-Edebiyat Fakültesi Dekanlığı, İşveren ve Stajyer Öğrenci arasında imzalanır.</w:t>
      </w:r>
    </w:p>
    <w:p w:rsidR="000272E3" w:rsidRPr="009911EA" w:rsidRDefault="000272E3" w:rsidP="004650CB">
      <w:pPr>
        <w:jc w:val="both"/>
      </w:pPr>
      <w:r w:rsidRPr="009911EA">
        <w:rPr>
          <w:b/>
        </w:rPr>
        <w:t xml:space="preserve">Madde </w:t>
      </w:r>
      <w:r w:rsidR="009911EA" w:rsidRPr="009911EA">
        <w:rPr>
          <w:b/>
        </w:rPr>
        <w:t>3</w:t>
      </w:r>
      <w:r w:rsidRPr="009911EA">
        <w:rPr>
          <w:b/>
        </w:rPr>
        <w:t xml:space="preserve"> -</w:t>
      </w:r>
      <w:r w:rsidRPr="009911EA">
        <w:t xml:space="preserve"> İki nüsha olarak düzenlenen ve taraflarca imzalanan bu sözleşmenin, bir nüshası Balıkesir Üniversitesi </w:t>
      </w:r>
      <w:r w:rsidR="009F09A1" w:rsidRPr="009911EA">
        <w:t>Fen-Edebiyat Fakültesi</w:t>
      </w:r>
      <w:r w:rsidRPr="009911EA">
        <w:t xml:space="preserve">  Dekanlığında, bir nüshası işletmede bulunur.</w:t>
      </w:r>
    </w:p>
    <w:p w:rsidR="000272E3" w:rsidRPr="009911EA" w:rsidRDefault="009911EA" w:rsidP="004650CB">
      <w:pPr>
        <w:jc w:val="both"/>
      </w:pPr>
      <w:r w:rsidRPr="009911EA">
        <w:rPr>
          <w:b/>
        </w:rPr>
        <w:t>Madde 4</w:t>
      </w:r>
      <w:r w:rsidR="000272E3" w:rsidRPr="009911EA">
        <w:rPr>
          <w:b/>
        </w:rPr>
        <w:t xml:space="preserve"> -</w:t>
      </w:r>
      <w:r w:rsidR="000272E3" w:rsidRPr="009911EA">
        <w:t xml:space="preserve"> Bu sözleşme, Mesleki ve Teknik Eğitim Bölgeleri içinde yer alan Balıkesir Üniversitesi </w:t>
      </w:r>
      <w:r w:rsidR="009F09A1" w:rsidRPr="009911EA">
        <w:t xml:space="preserve">Fen-Edebiyat Fakültesi </w:t>
      </w:r>
      <w:r w:rsidR="000272E3" w:rsidRPr="009911EA">
        <w:t>öğrencilerinin yurtiçindeki işyerlerinde yapacakları stajlarla ilgili faaliyeti kapsar.</w:t>
      </w:r>
    </w:p>
    <w:p w:rsidR="000272E3" w:rsidRPr="009911EA" w:rsidRDefault="009911EA" w:rsidP="004650CB">
      <w:pPr>
        <w:jc w:val="both"/>
      </w:pPr>
      <w:r w:rsidRPr="009911EA">
        <w:rPr>
          <w:b/>
        </w:rPr>
        <w:t>Madde 5</w:t>
      </w:r>
      <w:r w:rsidR="000272E3" w:rsidRPr="009911EA">
        <w:rPr>
          <w:b/>
        </w:rPr>
        <w:t xml:space="preserve"> -</w:t>
      </w:r>
      <w:r w:rsidR="000272E3" w:rsidRPr="009911EA">
        <w:t xml:space="preserve"> İşletmelerde Staj Eğitimi gören öğrencilerin Staj Eğitimleri, Balıkesir Üniversitesi Önlisans–Lisans Akademik Takvimine göre planlanır ve </w:t>
      </w:r>
      <w:r w:rsidR="009F09A1" w:rsidRPr="009911EA">
        <w:t xml:space="preserve">Fen-Edebiyat Fakültesi </w:t>
      </w:r>
      <w:r w:rsidR="000272E3" w:rsidRPr="009911EA">
        <w:t>Dekanlığı tarafından açıklanan staj tarihlerinde yapılır</w:t>
      </w:r>
    </w:p>
    <w:p w:rsidR="000272E3" w:rsidRPr="009911EA" w:rsidRDefault="000272E3" w:rsidP="004650CB">
      <w:pPr>
        <w:jc w:val="both"/>
        <w:rPr>
          <w:b/>
        </w:rPr>
      </w:pPr>
      <w:r w:rsidRPr="009911EA">
        <w:rPr>
          <w:b/>
        </w:rPr>
        <w:t xml:space="preserve">STAJ ZORUNLULUĞU </w:t>
      </w:r>
    </w:p>
    <w:p w:rsidR="000272E3" w:rsidRPr="009911EA" w:rsidRDefault="000272E3" w:rsidP="004650CB">
      <w:pPr>
        <w:jc w:val="both"/>
      </w:pPr>
      <w:r w:rsidRPr="009911EA">
        <w:rPr>
          <w:b/>
        </w:rPr>
        <w:t>Madde 5 -</w:t>
      </w:r>
      <w:r w:rsidRPr="009911EA">
        <w:t xml:space="preserve"> Stajyer öğrencilerin Balıkesir Üniversitesi </w:t>
      </w:r>
      <w:r w:rsidR="009F09A1" w:rsidRPr="009911EA">
        <w:t>Fen-Edebiyat Fakültesin</w:t>
      </w:r>
      <w:r w:rsidRPr="009911EA">
        <w:t>de teorik olarak öğrendikleri bilgileri ilgili sektörlerde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p>
    <w:p w:rsidR="000272E3" w:rsidRPr="009911EA" w:rsidRDefault="000272E3" w:rsidP="004650CB">
      <w:pPr>
        <w:jc w:val="both"/>
        <w:rPr>
          <w:b/>
        </w:rPr>
      </w:pPr>
      <w:r w:rsidRPr="009911EA">
        <w:rPr>
          <w:b/>
        </w:rPr>
        <w:t>YÜRÜRLÜK</w:t>
      </w:r>
    </w:p>
    <w:p w:rsidR="000272E3" w:rsidRPr="009911EA" w:rsidRDefault="000272E3" w:rsidP="004650CB">
      <w:pPr>
        <w:jc w:val="both"/>
      </w:pPr>
      <w:r w:rsidRPr="009911EA">
        <w:rPr>
          <w:b/>
        </w:rPr>
        <w:t>Madde 6 -</w:t>
      </w:r>
      <w:r w:rsidRPr="009911EA">
        <w:t xml:space="preserve"> Balıkesir Üniversitesi Önlisans</w:t>
      </w:r>
      <w:r w:rsidR="00F52318" w:rsidRPr="009911EA">
        <w:t xml:space="preserve"> </w:t>
      </w:r>
      <w:r w:rsidRPr="009911EA">
        <w:t>–</w:t>
      </w:r>
      <w:r w:rsidR="00F52318" w:rsidRPr="009911EA">
        <w:t xml:space="preserve"> </w:t>
      </w:r>
      <w:r w:rsidRPr="009911EA">
        <w:t xml:space="preserve">Lisans Akademik Takvimine göre </w:t>
      </w:r>
      <w:r w:rsidR="009F09A1" w:rsidRPr="009911EA">
        <w:t>Fen-Edebiyat Fakültesi</w:t>
      </w:r>
      <w:r w:rsidRPr="009911EA">
        <w:t xml:space="preserve"> Dekanlığı tarafından açıklanan staj tarihleri arasında</w:t>
      </w:r>
      <w:r w:rsidR="002F67BE" w:rsidRPr="009911EA">
        <w:t xml:space="preserve"> (zorunlu staj formunda belirtilen 30 iş gününü kapsayan tarihler öğrencinin staj tarihidir)</w:t>
      </w:r>
      <w:r w:rsidRPr="009911EA">
        <w:t xml:space="preserve"> taraflarca imzalanan bu sözleşme öğrencilerin Staj Eğitimlerini tamamladığı tarihe kadar geçerlidir. </w:t>
      </w:r>
    </w:p>
    <w:p w:rsidR="000272E3" w:rsidRPr="009911EA" w:rsidRDefault="000272E3" w:rsidP="004650CB">
      <w:pPr>
        <w:jc w:val="both"/>
        <w:rPr>
          <w:b/>
        </w:rPr>
      </w:pPr>
      <w:r w:rsidRPr="009911EA">
        <w:rPr>
          <w:b/>
        </w:rPr>
        <w:t>Madde 7 -</w:t>
      </w:r>
      <w:r w:rsidRPr="009911EA">
        <w:t xml:space="preserve"> Staj Eğitimi başladıktan sonra personel sayısında azalma olması durumunda da eğitime alınmış olan öğrenciler, Staj eğitimlerini tamamlayıncaya kadar eğitimlerine devam ettirilirler </w:t>
      </w:r>
      <w:r w:rsidRPr="009911EA">
        <w:rPr>
          <w:b/>
        </w:rPr>
        <w:t>(3308 Sayılı Kanun, Madde 22).</w:t>
      </w:r>
    </w:p>
    <w:p w:rsidR="000272E3" w:rsidRPr="009911EA" w:rsidRDefault="000272E3" w:rsidP="004650CB">
      <w:pPr>
        <w:jc w:val="both"/>
        <w:rPr>
          <w:b/>
        </w:rPr>
      </w:pPr>
      <w:r w:rsidRPr="009911EA">
        <w:rPr>
          <w:b/>
        </w:rPr>
        <w:t xml:space="preserve">SÖZLEŞMENİN FESHİ </w:t>
      </w:r>
    </w:p>
    <w:p w:rsidR="000272E3" w:rsidRPr="009911EA" w:rsidRDefault="000272E3" w:rsidP="004650CB">
      <w:pPr>
        <w:jc w:val="both"/>
      </w:pPr>
      <w:r w:rsidRPr="009911EA">
        <w:rPr>
          <w:b/>
        </w:rPr>
        <w:t>Madde 8 -</w:t>
      </w:r>
      <w:r w:rsidRPr="009911EA">
        <w:t xml:space="preserve"> Sözleşme; </w:t>
      </w:r>
    </w:p>
    <w:p w:rsidR="000272E3" w:rsidRPr="009911EA" w:rsidRDefault="000272E3" w:rsidP="004650CB">
      <w:pPr>
        <w:jc w:val="both"/>
      </w:pPr>
      <w:r w:rsidRPr="009911EA">
        <w:t>a) İş yerinin çeşitli sebeplerle kapatılması,</w:t>
      </w:r>
    </w:p>
    <w:p w:rsidR="000272E3" w:rsidRPr="009911EA" w:rsidRDefault="000272E3" w:rsidP="004650CB">
      <w:pPr>
        <w:jc w:val="both"/>
      </w:pPr>
      <w:r w:rsidRPr="009911EA">
        <w:t xml:space="preserve"> b) İş yeri sahibinin değişmesi halinde yeni iş yerinin aynı mesleği/üretimi sürdürememesi, </w:t>
      </w:r>
    </w:p>
    <w:p w:rsidR="000272E3" w:rsidRPr="009911EA" w:rsidRDefault="000272E3" w:rsidP="004650CB">
      <w:pPr>
        <w:jc w:val="both"/>
      </w:pPr>
      <w:r w:rsidRPr="009911EA">
        <w:t>c) Öğrencilerin Yükseköğretim Kurumları Öğrenci Disiplin Yönetmeliği hükümlerine göre uzaklaştırma cezası aldığı sürece veya çıkarma cezası alarak ilişiğinin kesilmesi durumunda sözleşme feshedilir.</w:t>
      </w:r>
    </w:p>
    <w:p w:rsidR="009911EA" w:rsidRDefault="009911EA" w:rsidP="004650CB">
      <w:pPr>
        <w:jc w:val="both"/>
        <w:rPr>
          <w:b/>
        </w:rPr>
      </w:pPr>
    </w:p>
    <w:p w:rsidR="000272E3" w:rsidRPr="009911EA" w:rsidRDefault="000272E3" w:rsidP="004650CB">
      <w:pPr>
        <w:jc w:val="both"/>
        <w:rPr>
          <w:b/>
        </w:rPr>
      </w:pPr>
      <w:r w:rsidRPr="009911EA">
        <w:rPr>
          <w:b/>
        </w:rPr>
        <w:t>ÜCRET VE İZİN</w:t>
      </w:r>
    </w:p>
    <w:p w:rsidR="000272E3" w:rsidRPr="009911EA" w:rsidRDefault="000272E3" w:rsidP="004650CB">
      <w:pPr>
        <w:jc w:val="both"/>
      </w:pPr>
      <w:r w:rsidRPr="009911EA">
        <w:rPr>
          <w:b/>
        </w:rPr>
        <w:t>Madde 9 -</w:t>
      </w:r>
      <w:r w:rsidRPr="009911EA">
        <w:t xml:space="preserve"> 3308 sayılı Kanun'un 25 inci maddesi birinci fıkrasına göre öğ</w:t>
      </w:r>
      <w:r w:rsidR="002F67BE" w:rsidRPr="009911EA">
        <w:t xml:space="preserve">rencilere, staj </w:t>
      </w:r>
      <w:r w:rsidRPr="009911EA">
        <w:t xml:space="preserve">eğitimi devam ettiği sürece </w:t>
      </w:r>
      <w:r w:rsidR="002F67BE" w:rsidRPr="009911EA">
        <w:rPr>
          <w:color w:val="000000"/>
          <w:spacing w:val="-2"/>
          <w:shd w:val="clear" w:color="auto" w:fill="FFFFFF"/>
        </w:rPr>
        <w:t xml:space="preserve">yapılacak ödemeler, </w:t>
      </w:r>
      <w:r w:rsidR="002F67BE" w:rsidRPr="009911EA">
        <w:rPr>
          <w:b/>
          <w:color w:val="000000"/>
          <w:spacing w:val="-2"/>
          <w:shd w:val="clear" w:color="auto" w:fill="FFFFFF"/>
        </w:rPr>
        <w:t xml:space="preserve">asgari ücretin net tutarının yüzde otuzundan az olamaz. </w:t>
      </w:r>
      <w:r w:rsidRPr="009911EA">
        <w:t>Öğrenciye ödenecek ücret, her türlü vergiden muaftır. Asgari ücrette yıl içinde artış olması hâlinde, bu artışlar aynı oranda öğrencilerin ücretlerine yansıtılır.</w:t>
      </w:r>
    </w:p>
    <w:p w:rsidR="000272E3" w:rsidRPr="009911EA" w:rsidRDefault="000272E3" w:rsidP="004650CB">
      <w:pPr>
        <w:jc w:val="both"/>
        <w:rPr>
          <w:b/>
        </w:rPr>
      </w:pPr>
      <w:r w:rsidRPr="009911EA">
        <w:rPr>
          <w:b/>
        </w:rPr>
        <w:t>Stajyer öğrenciye ödenecek ücret :</w:t>
      </w:r>
      <w:r w:rsidRPr="009911EA">
        <w:t xml:space="preserve"> </w:t>
      </w:r>
      <w:r w:rsidR="002F67BE" w:rsidRPr="009911EA">
        <w:rPr>
          <w:b/>
        </w:rPr>
        <w:t>…………</w:t>
      </w:r>
      <w:r w:rsidR="00036ED1">
        <w:rPr>
          <w:b/>
        </w:rPr>
        <w:t>..</w:t>
      </w:r>
      <w:r w:rsidR="002F67BE" w:rsidRPr="009911EA">
        <w:rPr>
          <w:b/>
        </w:rPr>
        <w:t>……………. TL</w:t>
      </w:r>
    </w:p>
    <w:p w:rsidR="000272E3" w:rsidRPr="009911EA" w:rsidRDefault="000272E3" w:rsidP="004650CB">
      <w:pPr>
        <w:jc w:val="both"/>
      </w:pPr>
      <w:r w:rsidRPr="009911EA">
        <w:rPr>
          <w:b/>
        </w:rPr>
        <w:t xml:space="preserve">Devlet Katkısı                                        </w:t>
      </w:r>
    </w:p>
    <w:p w:rsidR="002F67BE" w:rsidRPr="009911EA" w:rsidRDefault="002F67BE" w:rsidP="002F67BE">
      <w:pPr>
        <w:ind w:firstLine="720"/>
        <w:jc w:val="both"/>
      </w:pPr>
      <w:r w:rsidRPr="009911EA">
        <w:t>Staj yapan öğrenciye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ödenir.</w:t>
      </w:r>
      <w:r w:rsidR="00C06400" w:rsidRPr="009911EA">
        <w:t xml:space="preserve"> </w:t>
      </w:r>
    </w:p>
    <w:p w:rsidR="002F67BE" w:rsidRPr="009911EA" w:rsidRDefault="002F67BE" w:rsidP="002F67BE">
      <w:pPr>
        <w:ind w:firstLine="720"/>
        <w:jc w:val="both"/>
        <w:rPr>
          <w:rFonts w:eastAsia="Calibri"/>
        </w:rPr>
      </w:pPr>
      <w:r w:rsidRPr="009911EA">
        <w:t>G</w:t>
      </w:r>
      <w:r w:rsidRPr="009911EA">
        <w:rPr>
          <w:rFonts w:eastAsia="Calibri"/>
        </w:rPr>
        <w:t>erekli belgeleri ilgili yükseköğrenim kurumuna vermesi halinde, bu tutarlar, işletme hesaplarına yükseköğrenim birimi tarafından ödenecektir.</w:t>
      </w:r>
    </w:p>
    <w:p w:rsidR="00843B5D" w:rsidRPr="00036ED1" w:rsidRDefault="002F67BE" w:rsidP="002F67BE">
      <w:pPr>
        <w:ind w:firstLine="720"/>
        <w:jc w:val="both"/>
        <w:rPr>
          <w:sz w:val="24"/>
          <w:szCs w:val="24"/>
          <w:u w:val="single"/>
        </w:rPr>
      </w:pPr>
      <w:r w:rsidRPr="009911EA">
        <w:rPr>
          <w:spacing w:val="-56"/>
          <w:u w:val="single"/>
        </w:rPr>
        <w:t xml:space="preserve"> </w:t>
      </w:r>
      <w:r w:rsidRPr="00036ED1">
        <w:rPr>
          <w:sz w:val="24"/>
          <w:szCs w:val="24"/>
          <w:u w:val="single"/>
        </w:rPr>
        <w:t xml:space="preserve">Devlet katkısı ödemelerinde gecikme yada aksaklık olmaması için işletmeler tarafından </w:t>
      </w:r>
      <w:r w:rsidRPr="00036ED1">
        <w:rPr>
          <w:b/>
          <w:i/>
          <w:sz w:val="24"/>
          <w:szCs w:val="24"/>
          <w:u w:val="single"/>
        </w:rPr>
        <w:t>öğrencilere yapılan  ödemelere ait  dekontların  bir  nüshasının  ödeme tarihinden hemen sonra</w:t>
      </w:r>
      <w:r w:rsidRPr="00036ED1">
        <w:rPr>
          <w:sz w:val="24"/>
          <w:szCs w:val="24"/>
        </w:rPr>
        <w:t xml:space="preserve">  </w:t>
      </w:r>
      <w:r w:rsidRPr="00036ED1">
        <w:rPr>
          <w:sz w:val="24"/>
          <w:szCs w:val="24"/>
          <w:u w:val="single"/>
        </w:rPr>
        <w:t xml:space="preserve">Balıkesir Üniversitesi Fen </w:t>
      </w:r>
      <w:r w:rsidR="00B567A1" w:rsidRPr="00036ED1">
        <w:rPr>
          <w:sz w:val="24"/>
          <w:szCs w:val="24"/>
          <w:u w:val="single"/>
        </w:rPr>
        <w:t>E</w:t>
      </w:r>
      <w:r w:rsidR="006E372E">
        <w:rPr>
          <w:sz w:val="24"/>
          <w:szCs w:val="24"/>
          <w:u w:val="single"/>
        </w:rPr>
        <w:t xml:space="preserve">debiyat Fakültesi Dekanlığının  </w:t>
      </w:r>
      <w:hyperlink r:id="rId6" w:history="1">
        <w:r w:rsidR="006E372E" w:rsidRPr="006E372E">
          <w:rPr>
            <w:rStyle w:val="Kpr"/>
            <w:b/>
            <w:color w:val="auto"/>
            <w:sz w:val="24"/>
            <w:szCs w:val="24"/>
            <w:shd w:val="clear" w:color="auto" w:fill="FFFFFF"/>
          </w:rPr>
          <w:t>fef@balikesir.edu.tr</w:t>
        </w:r>
      </w:hyperlink>
      <w:r w:rsidRPr="00036ED1">
        <w:rPr>
          <w:sz w:val="24"/>
          <w:szCs w:val="24"/>
          <w:u w:val="single"/>
        </w:rPr>
        <w:t xml:space="preserve"> </w:t>
      </w:r>
      <w:r w:rsidR="006E372E">
        <w:rPr>
          <w:sz w:val="24"/>
          <w:szCs w:val="24"/>
          <w:u w:val="single"/>
        </w:rPr>
        <w:t xml:space="preserve">mail adresine </w:t>
      </w:r>
      <w:bookmarkStart w:id="0" w:name="_GoBack"/>
      <w:bookmarkEnd w:id="0"/>
      <w:r w:rsidRPr="00036ED1">
        <w:rPr>
          <w:sz w:val="24"/>
          <w:szCs w:val="24"/>
          <w:u w:val="single"/>
        </w:rPr>
        <w:t>gönderilmesi gerekmektedir.</w:t>
      </w:r>
    </w:p>
    <w:p w:rsidR="00C06400" w:rsidRPr="009911EA" w:rsidRDefault="002F67BE" w:rsidP="002F67BE">
      <w:pPr>
        <w:jc w:val="both"/>
      </w:pPr>
      <w:r w:rsidRPr="009911EA">
        <w:t>Yukarıda belirtilen kanun, usul ve esaslar gereği Öğrenci ve İşyeri bilgilerini aşağıda belirtiniz.</w:t>
      </w:r>
    </w:p>
    <w:tbl>
      <w:tblPr>
        <w:tblStyle w:val="TabloKlavuzu"/>
        <w:tblpPr w:leftFromText="141" w:rightFromText="141" w:vertAnchor="text" w:horzAnchor="margin" w:tblpX="392" w:tblpY="370"/>
        <w:tblW w:w="4676" w:type="pct"/>
        <w:tblLook w:val="04A0" w:firstRow="1" w:lastRow="0" w:firstColumn="1" w:lastColumn="0" w:noHBand="0" w:noVBand="1"/>
      </w:tblPr>
      <w:tblGrid>
        <w:gridCol w:w="9323"/>
      </w:tblGrid>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İşyerinin Adı</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pPr>
            <w:r w:rsidRPr="009911EA">
              <w:rPr>
                <w:rFonts w:ascii="Times New Roman" w:eastAsia="Times New Roman" w:hAnsi="Times New Roman" w:cs="Times New Roman"/>
                <w:lang w:val="tr-TR"/>
              </w:rPr>
              <w:t>İşyerinde çalışan personel sayısı</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İşyerinin Adresi</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İşyerinin Üretim/Hizmet Alanı</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İşyerinin Vergi No</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 xml:space="preserve">İşyerinin SGK Tescil Numarası   </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İşyerinin Banka Iban No</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b/>
                <w:bCs/>
                <w:lang w:val="tr-TR"/>
              </w:rPr>
            </w:pPr>
            <w:r w:rsidRPr="009911EA">
              <w:rPr>
                <w:rFonts w:ascii="Times New Roman" w:eastAsia="Times New Roman" w:hAnsi="Times New Roman" w:cs="Times New Roman"/>
                <w:lang w:val="tr-TR"/>
              </w:rPr>
              <w:t>İşyerinin Telefon Numarası</w:t>
            </w:r>
          </w:p>
        </w:tc>
      </w:tr>
      <w:tr w:rsidR="00B567A1" w:rsidRPr="009911EA" w:rsidTr="00B567A1">
        <w:trPr>
          <w:trHeight w:val="397"/>
        </w:trPr>
        <w:tc>
          <w:tcPr>
            <w:tcW w:w="5000" w:type="pct"/>
            <w:vAlign w:val="center"/>
          </w:tcPr>
          <w:p w:rsidR="00B567A1" w:rsidRPr="009911EA" w:rsidRDefault="00B567A1" w:rsidP="00B567A1">
            <w:pPr>
              <w:adjustRightInd w:val="0"/>
              <w:spacing w:before="1" w:line="276" w:lineRule="exact"/>
              <w:ind w:left="142" w:hanging="142"/>
              <w:rPr>
                <w:rFonts w:ascii="Times New Roman" w:eastAsia="Times New Roman" w:hAnsi="Times New Roman" w:cs="Times New Roman"/>
                <w:lang w:val="tr-TR"/>
              </w:rPr>
            </w:pPr>
            <w:r w:rsidRPr="009911EA">
              <w:rPr>
                <w:rFonts w:ascii="Times New Roman" w:eastAsia="Times New Roman" w:hAnsi="Times New Roman" w:cs="Times New Roman"/>
                <w:lang w:val="tr-TR"/>
              </w:rPr>
              <w:t>İşyerinin E-posta Adresi</w:t>
            </w:r>
          </w:p>
        </w:tc>
      </w:tr>
    </w:tbl>
    <w:p w:rsidR="000B7B46" w:rsidRDefault="000B7B46" w:rsidP="004650CB">
      <w:pPr>
        <w:jc w:val="both"/>
      </w:pPr>
    </w:p>
    <w:p w:rsidR="000272E3" w:rsidRPr="009911EA" w:rsidRDefault="000272E3" w:rsidP="004650CB">
      <w:pPr>
        <w:jc w:val="both"/>
      </w:pPr>
      <w:r w:rsidRPr="009911EA">
        <w:rPr>
          <w:b/>
        </w:rPr>
        <w:t xml:space="preserve">Öğrenci IBAN: TR </w:t>
      </w:r>
      <w:r w:rsidRPr="009911EA">
        <w:t xml:space="preserve">__ __ __ __ __ __ __ __ __ __ __ __ __ __ __ __ __ __ __ __ __ __ __ __ </w:t>
      </w:r>
    </w:p>
    <w:p w:rsidR="000272E3" w:rsidRPr="009911EA" w:rsidRDefault="000272E3" w:rsidP="004650CB">
      <w:pPr>
        <w:jc w:val="both"/>
      </w:pPr>
      <w:r w:rsidRPr="009911EA">
        <w:rPr>
          <w:b/>
        </w:rPr>
        <w:t xml:space="preserve">Banka Adı ve Şube Adı     </w:t>
      </w:r>
      <w:r w:rsidRPr="009911EA">
        <w:t xml:space="preserve">            </w:t>
      </w:r>
      <w:r w:rsidRPr="009911EA">
        <w:rPr>
          <w:b/>
        </w:rPr>
        <w:t xml:space="preserve">: </w:t>
      </w:r>
      <w:r w:rsidRPr="009911EA">
        <w:t>………………………………………………………</w:t>
      </w:r>
    </w:p>
    <w:p w:rsidR="00A71999" w:rsidRDefault="00A71999" w:rsidP="004650CB">
      <w:pPr>
        <w:jc w:val="both"/>
        <w:rPr>
          <w:b/>
        </w:rPr>
      </w:pPr>
    </w:p>
    <w:p w:rsidR="00A71999" w:rsidRDefault="00A71999" w:rsidP="004650CB">
      <w:pPr>
        <w:jc w:val="both"/>
        <w:rPr>
          <w:b/>
        </w:rPr>
      </w:pPr>
    </w:p>
    <w:p w:rsidR="00A71999" w:rsidRDefault="00A71999" w:rsidP="004650CB">
      <w:pPr>
        <w:jc w:val="both"/>
        <w:rPr>
          <w:b/>
        </w:rPr>
      </w:pPr>
    </w:p>
    <w:p w:rsidR="000272E3" w:rsidRPr="009911EA" w:rsidRDefault="000272E3" w:rsidP="004650CB">
      <w:pPr>
        <w:jc w:val="both"/>
      </w:pPr>
      <w:r w:rsidRPr="009911EA">
        <w:rPr>
          <w:b/>
        </w:rPr>
        <w:t>Madde 10 -</w:t>
      </w:r>
      <w:r w:rsidRPr="009911EA">
        <w:t xml:space="preserve"> Öğrencinin staj süresi </w:t>
      </w:r>
      <w:r w:rsidR="00D82D8D" w:rsidRPr="009911EA">
        <w:t>30</w:t>
      </w:r>
      <w:r w:rsidRPr="009911EA">
        <w:t xml:space="preserve"> (</w:t>
      </w:r>
      <w:r w:rsidR="00D82D8D" w:rsidRPr="009911EA">
        <w:t>otuz</w:t>
      </w:r>
      <w:r w:rsidRPr="009911EA">
        <w:t xml:space="preserve">) </w:t>
      </w:r>
      <w:r w:rsidR="00A55E36" w:rsidRPr="009911EA">
        <w:t xml:space="preserve">iş </w:t>
      </w:r>
      <w:r w:rsidRPr="009911EA">
        <w:t>gün</w:t>
      </w:r>
      <w:r w:rsidR="00A55E36" w:rsidRPr="009911EA">
        <w:t>ü</w:t>
      </w:r>
      <w:r w:rsidR="00D82D8D" w:rsidRPr="009911EA">
        <w:t xml:space="preserve"> </w:t>
      </w:r>
      <w:r w:rsidRPr="009911EA">
        <w:t>olup öğrenci staj yaptığı işletme/kurumun mesaisine uyar ve vardiya sistemlerinde gündüz çalışır, isteğe bağlı olarak fazla mesaiye kalabilir. Ancak bu süre staj süresinden sayılmaz.</w:t>
      </w:r>
    </w:p>
    <w:p w:rsidR="000272E3" w:rsidRPr="009911EA" w:rsidRDefault="000272E3" w:rsidP="004650CB">
      <w:pPr>
        <w:jc w:val="both"/>
        <w:rPr>
          <w:b/>
        </w:rPr>
      </w:pPr>
      <w:r w:rsidRPr="009911EA">
        <w:rPr>
          <w:b/>
        </w:rPr>
        <w:t xml:space="preserve"> SİGORTA </w:t>
      </w:r>
    </w:p>
    <w:p w:rsidR="000272E3" w:rsidRPr="009911EA" w:rsidRDefault="000272E3" w:rsidP="004650CB">
      <w:pPr>
        <w:jc w:val="both"/>
      </w:pPr>
      <w:r w:rsidRPr="009911EA">
        <w:rPr>
          <w:b/>
        </w:rPr>
        <w:t>Madde 11 -</w:t>
      </w:r>
      <w:r w:rsidRPr="009911EA">
        <w:t xml:space="preserve"> Öğrencilere işletme/kurum tarafından sağlık sigortası yapılabilir. İşletme/kurum tarafından sağlık sigortası yapılmayan öğrenciler bu sözleşmenin akdedilmesi ile işletmelerde Staj Eğitimine devam ettikleri sürece 5510 sayılı Sosyal Sigortalar Kanununun, 5. Maddesinin (b) bendine göre iş kazası ve meslek hastalığı sigortası Balıkesir Üniversitesi </w:t>
      </w:r>
      <w:r w:rsidR="009F09A1" w:rsidRPr="009911EA">
        <w:t xml:space="preserve">Fen-Edebiyat Fakültesi </w:t>
      </w:r>
      <w:r w:rsidRPr="009911EA">
        <w:t>Dekanlığınca yaptırılır.</w:t>
      </w:r>
    </w:p>
    <w:p w:rsidR="000272E3" w:rsidRPr="009911EA" w:rsidRDefault="000272E3" w:rsidP="004650CB">
      <w:pPr>
        <w:jc w:val="both"/>
      </w:pPr>
      <w:r w:rsidRPr="009911EA">
        <w:t xml:space="preserve"> </w:t>
      </w:r>
      <w:r w:rsidRPr="009911EA">
        <w:rPr>
          <w:b/>
        </w:rPr>
        <w:t>Madde 12 –</w:t>
      </w:r>
      <w:r w:rsidRPr="009911EA">
        <w:t xml:space="preserve"> Balıkesir Üniversitesi </w:t>
      </w:r>
      <w:r w:rsidR="009F09A1" w:rsidRPr="009911EA">
        <w:t xml:space="preserve">Fen-Edebiyat Fakültesi </w:t>
      </w:r>
      <w:r w:rsidRPr="009911EA">
        <w:t xml:space="preserve">Dekanlığınca ödenmesi gereken sigorta primleri, Sosyal Güvenlik Kurumu’nun belirlediği oranlara göre, Sosyal Güvenlik Kurumu’na ödenir veya bu kurumun hesabına aktarılır. </w:t>
      </w:r>
    </w:p>
    <w:p w:rsidR="000272E3" w:rsidRPr="009911EA" w:rsidRDefault="000272E3" w:rsidP="004650CB">
      <w:pPr>
        <w:jc w:val="both"/>
      </w:pPr>
      <w:r w:rsidRPr="009911EA">
        <w:rPr>
          <w:b/>
        </w:rPr>
        <w:t>Madde 13 -</w:t>
      </w:r>
      <w:r w:rsidRPr="009911EA">
        <w:t xml:space="preserve"> Sigorta ve prim ödeme ile ilgili belgeler Balıkesir Üniversitesi </w:t>
      </w:r>
      <w:r w:rsidR="009F09A1" w:rsidRPr="009911EA">
        <w:t xml:space="preserve">Fen-Edebiyat Fakültesi </w:t>
      </w:r>
      <w:r w:rsidRPr="009911EA">
        <w:t>Dekanlığınca muhafaza edilir.</w:t>
      </w:r>
    </w:p>
    <w:p w:rsidR="000272E3" w:rsidRPr="009911EA" w:rsidRDefault="000272E3" w:rsidP="004650CB">
      <w:pPr>
        <w:jc w:val="both"/>
        <w:rPr>
          <w:b/>
        </w:rPr>
      </w:pPr>
      <w:r w:rsidRPr="009911EA">
        <w:t xml:space="preserve"> </w:t>
      </w:r>
      <w:r w:rsidRPr="009911EA">
        <w:rPr>
          <w:b/>
        </w:rPr>
        <w:t xml:space="preserve">ÖĞRENCİNİN DEVAM, DİSİPLİN VE BAŞARI DURUMU </w:t>
      </w:r>
    </w:p>
    <w:p w:rsidR="000272E3" w:rsidRPr="009911EA" w:rsidRDefault="000272E3" w:rsidP="004650CB">
      <w:pPr>
        <w:jc w:val="both"/>
      </w:pPr>
      <w:r w:rsidRPr="009911EA">
        <w:rPr>
          <w:b/>
        </w:rPr>
        <w:t>Madde 14 -</w:t>
      </w:r>
      <w:r w:rsidRPr="009911EA">
        <w:t xml:space="preserve"> Öğrenciler Staj Eğitimleri için işletmelere devam etmek zorundadırlar. </w:t>
      </w:r>
    </w:p>
    <w:p w:rsidR="000272E3" w:rsidRPr="009911EA" w:rsidRDefault="000272E3" w:rsidP="004650CB">
      <w:pPr>
        <w:jc w:val="both"/>
      </w:pPr>
      <w:r w:rsidRPr="009911EA">
        <w:rPr>
          <w:b/>
        </w:rPr>
        <w:t>Madde 15 -</w:t>
      </w:r>
      <w:r w:rsidRPr="009911EA">
        <w:t xml:space="preserve"> İşletme yetkilileri, mazeretsiz olarak (3) üç iş günü işyeri eğitimine gelmeyen öğrenciyi, en geç (5) beş iş günü içinde Balıkesir Üniversitesi </w:t>
      </w:r>
      <w:r w:rsidR="00D82D8D" w:rsidRPr="009911EA">
        <w:t xml:space="preserve">Fen-Edebiyat Fakültesi </w:t>
      </w:r>
      <w:r w:rsidRPr="009911EA">
        <w:t xml:space="preserve">Dekanlığına bildirir. </w:t>
      </w:r>
    </w:p>
    <w:p w:rsidR="000272E3" w:rsidRPr="009911EA" w:rsidRDefault="000272E3" w:rsidP="004650CB">
      <w:pPr>
        <w:jc w:val="both"/>
      </w:pPr>
      <w:r w:rsidRPr="009911EA">
        <w:rPr>
          <w:b/>
        </w:rPr>
        <w:t>Madde 16 -</w:t>
      </w:r>
      <w:r w:rsidRPr="009911EA">
        <w:t xml:space="preserve"> Öğrencilerin işletmelerde disiplin soruşturmasını gerektirecek davranışlarda bulunmaları halinde, bu durum işletme tarafından Balıkesir Üniversitesi </w:t>
      </w:r>
      <w:r w:rsidR="009F09A1" w:rsidRPr="009911EA">
        <w:t xml:space="preserve">Fen-Edebiyat Fakültesi </w:t>
      </w:r>
      <w:r w:rsidRPr="009911EA">
        <w:t xml:space="preserve">Dekanlığına yazılı olarak bildirilir. Disiplin işlemi, </w:t>
      </w:r>
      <w:r w:rsidR="009F09A1" w:rsidRPr="009911EA">
        <w:t xml:space="preserve">Fen-Edebiyat Fakültesi </w:t>
      </w:r>
      <w:r w:rsidRPr="009911EA">
        <w:t>Dekanlığı tarafından “Balıkesir Üniversitesi’nin ve Yükseköğretim Kurumları Öğrenci Disiplin Yönetmeliği” hükümlerine göre yürütülür. Sonuç işletmeye yazılı olarak bildirilir.</w:t>
      </w:r>
    </w:p>
    <w:p w:rsidR="000272E3" w:rsidRPr="009911EA" w:rsidRDefault="000272E3" w:rsidP="004650CB">
      <w:pPr>
        <w:jc w:val="both"/>
      </w:pPr>
      <w:r w:rsidRPr="009911EA">
        <w:t xml:space="preserve"> </w:t>
      </w:r>
      <w:r w:rsidRPr="009911EA">
        <w:rPr>
          <w:b/>
        </w:rPr>
        <w:t>Madde 17 -</w:t>
      </w:r>
      <w:r w:rsidRPr="009911EA">
        <w:t xml:space="preserve"> İşletmelerde Staj Eğitimi gören öğrencilerin başarı ölçütleri Balıkesir Üniversitesi Ön Lisans ve Lisans Öğretim ve Sınav Yönetmeliği’ne göre yapılır.</w:t>
      </w:r>
    </w:p>
    <w:p w:rsidR="000272E3" w:rsidRPr="009911EA" w:rsidRDefault="000272E3" w:rsidP="004650CB">
      <w:pPr>
        <w:jc w:val="both"/>
        <w:rPr>
          <w:b/>
        </w:rPr>
      </w:pPr>
      <w:r w:rsidRPr="009911EA">
        <w:t xml:space="preserve"> </w:t>
      </w:r>
      <w:r w:rsidRPr="009911EA">
        <w:rPr>
          <w:b/>
        </w:rPr>
        <w:t>TARAFLARIN DİĞER GÖREV VE SORUMLULUKLARI</w:t>
      </w:r>
    </w:p>
    <w:p w:rsidR="000272E3" w:rsidRPr="009911EA" w:rsidRDefault="000272E3" w:rsidP="004650CB">
      <w:pPr>
        <w:jc w:val="both"/>
      </w:pPr>
      <w:r w:rsidRPr="009911EA">
        <w:t xml:space="preserve"> </w:t>
      </w:r>
      <w:r w:rsidRPr="009911EA">
        <w:rPr>
          <w:b/>
        </w:rPr>
        <w:t>Madde 18 -</w:t>
      </w:r>
      <w:r w:rsidRPr="009911EA">
        <w:t xml:space="preserve"> </w:t>
      </w:r>
      <w:r w:rsidRPr="009911EA">
        <w:rPr>
          <w:b/>
        </w:rPr>
        <w:t>Staj Eğitimi yaptıracak işletmelerin sorumlulukları;</w:t>
      </w:r>
      <w:r w:rsidRPr="009911EA">
        <w:t xml:space="preserve"> </w:t>
      </w:r>
    </w:p>
    <w:p w:rsidR="000272E3" w:rsidRPr="009911EA" w:rsidRDefault="000272E3" w:rsidP="004650CB">
      <w:pPr>
        <w:jc w:val="both"/>
      </w:pPr>
      <w:r w:rsidRPr="009911EA">
        <w:rPr>
          <w:b/>
        </w:rPr>
        <w:t>a)</w:t>
      </w:r>
      <w:r w:rsidRPr="009911EA">
        <w:t xml:space="preserve"> Öğrencilerin devam durumlarını izleyerek devamsızlıklarını ve hastalık izinlerini, süresi içinde ilgili staj koordinatörlerine iletilmek üzere Balıkesir Üniversitesi </w:t>
      </w:r>
      <w:r w:rsidR="009F09A1" w:rsidRPr="009911EA">
        <w:t xml:space="preserve">Fen-Edebiyat Fakültesi </w:t>
      </w:r>
      <w:r w:rsidRPr="009911EA">
        <w:t>Dekanlığına bildirmek,</w:t>
      </w:r>
    </w:p>
    <w:p w:rsidR="00843B5D" w:rsidRPr="009911EA" w:rsidRDefault="000272E3" w:rsidP="004650CB">
      <w:pPr>
        <w:jc w:val="both"/>
      </w:pPr>
      <w:r w:rsidRPr="009911EA">
        <w:rPr>
          <w:b/>
        </w:rPr>
        <w:t xml:space="preserve"> b)</w:t>
      </w:r>
      <w:r w:rsidRPr="009911EA">
        <w:t xml:space="preserve"> Öğrencilerin ilgili staj tarihlerine ait Staj Değerlendirme formunu, staj bitimini takip eden ilk on (10) gün içerisinde incelenmek ve değerlendirmek üzere imzalı-mühürlü kapalı zarf içinde (stajyer öğrenci tarafından teslim alınmayacaksa) Balıkesir Üniversitesi </w:t>
      </w:r>
      <w:r w:rsidR="009F09A1" w:rsidRPr="009911EA">
        <w:t xml:space="preserve">Fen-Edebiyat Fakültesi </w:t>
      </w:r>
      <w:r w:rsidRPr="009911EA">
        <w:t xml:space="preserve">Dekanlığına teslim etmek, </w:t>
      </w:r>
    </w:p>
    <w:p w:rsidR="000272E3" w:rsidRPr="009911EA" w:rsidRDefault="000272E3" w:rsidP="004650CB">
      <w:pPr>
        <w:jc w:val="both"/>
        <w:rPr>
          <w:b/>
        </w:rPr>
      </w:pPr>
      <w:r w:rsidRPr="009911EA">
        <w:rPr>
          <w:b/>
        </w:rPr>
        <w:t>Madde 19 - İşletmede Staj Eğitimi gören öğrencilerin görev ve sorumlulukları;</w:t>
      </w:r>
    </w:p>
    <w:p w:rsidR="000272E3" w:rsidRPr="009911EA" w:rsidRDefault="000272E3" w:rsidP="004650CB">
      <w:pPr>
        <w:jc w:val="both"/>
      </w:pPr>
      <w:r w:rsidRPr="009911EA">
        <w:rPr>
          <w:b/>
        </w:rPr>
        <w:t xml:space="preserve"> a)</w:t>
      </w:r>
      <w:r w:rsidRPr="009911EA">
        <w:t xml:space="preserve"> İş yerinin şartlarına ve çalışma düzenine uymak, </w:t>
      </w:r>
    </w:p>
    <w:p w:rsidR="000272E3" w:rsidRPr="009911EA" w:rsidRDefault="000272E3" w:rsidP="004650CB">
      <w:pPr>
        <w:jc w:val="both"/>
      </w:pPr>
      <w:r w:rsidRPr="009911EA">
        <w:rPr>
          <w:b/>
        </w:rPr>
        <w:t xml:space="preserve"> b)</w:t>
      </w:r>
      <w:r w:rsidRPr="009911EA">
        <w:t xml:space="preserve"> İş yerine ait özel bilgileri üçüncü şahıslara iletmemek, </w:t>
      </w:r>
    </w:p>
    <w:p w:rsidR="000272E3" w:rsidRPr="009911EA" w:rsidRDefault="000272E3" w:rsidP="004650CB">
      <w:pPr>
        <w:jc w:val="both"/>
      </w:pPr>
      <w:r w:rsidRPr="009911EA">
        <w:rPr>
          <w:b/>
        </w:rPr>
        <w:t xml:space="preserve"> c)</w:t>
      </w:r>
      <w:r w:rsidRPr="009911EA">
        <w:t xml:space="preserve"> Sendikal etkinliklere katılmamak,</w:t>
      </w:r>
    </w:p>
    <w:p w:rsidR="000272E3" w:rsidRPr="009911EA" w:rsidRDefault="000272E3" w:rsidP="004650CB">
      <w:pPr>
        <w:jc w:val="both"/>
      </w:pPr>
      <w:r w:rsidRPr="009911EA">
        <w:rPr>
          <w:b/>
        </w:rPr>
        <w:lastRenderedPageBreak/>
        <w:t xml:space="preserve"> d)</w:t>
      </w:r>
      <w:r w:rsidRPr="009911EA">
        <w:t xml:space="preserve"> Staj Eğitimine düzenli olarak devam etmek,</w:t>
      </w:r>
    </w:p>
    <w:p w:rsidR="000272E3" w:rsidRPr="009911EA" w:rsidRDefault="000272E3" w:rsidP="004650CB">
      <w:pPr>
        <w:jc w:val="both"/>
      </w:pPr>
      <w:r w:rsidRPr="009911EA">
        <w:rPr>
          <w:b/>
        </w:rPr>
        <w:t xml:space="preserve"> e)</w:t>
      </w:r>
      <w:r w:rsidRPr="009911EA">
        <w:t xml:space="preserve"> Staj Eğitiminde eğitim ile ilgili staj dosyasını tutmak ve ilgili formları doldurmak ve Balıkesir Üniversitesi </w:t>
      </w:r>
      <w:r w:rsidR="009F09A1" w:rsidRPr="009911EA">
        <w:t xml:space="preserve">Fen-Edebiyat Fakültesi </w:t>
      </w:r>
      <w:r w:rsidRPr="009911EA">
        <w:t>Dekanlığına belirlenen sürede teslim etmek.</w:t>
      </w:r>
    </w:p>
    <w:p w:rsidR="000272E3" w:rsidRPr="009911EA" w:rsidRDefault="000272E3" w:rsidP="004650CB">
      <w:pPr>
        <w:jc w:val="both"/>
        <w:rPr>
          <w:b/>
        </w:rPr>
      </w:pPr>
      <w:r w:rsidRPr="009911EA">
        <w:rPr>
          <w:b/>
        </w:rPr>
        <w:t>DİĞER HUSUSLAR</w:t>
      </w:r>
    </w:p>
    <w:p w:rsidR="000272E3" w:rsidRPr="009911EA" w:rsidRDefault="000272E3" w:rsidP="004650CB">
      <w:pPr>
        <w:jc w:val="both"/>
      </w:pPr>
      <w:r w:rsidRPr="009911EA">
        <w:t xml:space="preserve"> </w:t>
      </w:r>
      <w:r w:rsidRPr="009911EA">
        <w:rPr>
          <w:b/>
        </w:rPr>
        <w:t>Madde 20 -</w:t>
      </w:r>
      <w:r w:rsidRPr="009911EA">
        <w:t xml:space="preserve"> İşletmelerde Staj Eğitimi gören öğrenciler hakkında bu sözleşmede yer almayan diğer hususlarda, ilgili mevzuat hükümlerine göre işlem yapılır. </w:t>
      </w:r>
    </w:p>
    <w:p w:rsidR="003C7818" w:rsidRPr="009911EA" w:rsidRDefault="000272E3" w:rsidP="004650CB">
      <w:pPr>
        <w:jc w:val="both"/>
      </w:pPr>
      <w:r w:rsidRPr="009911EA">
        <w:rPr>
          <w:b/>
        </w:rPr>
        <w:t>Madde21 -</w:t>
      </w:r>
      <w:r w:rsidRPr="009911EA">
        <w:t xml:space="preserve"> İşletme tarafından öğrenciye aşağıdaki sosyal haklar sağlanacaktır:</w:t>
      </w:r>
    </w:p>
    <w:p w:rsidR="000272E3" w:rsidRPr="009911EA" w:rsidRDefault="000272E3" w:rsidP="003C7818">
      <w:pPr>
        <w:tabs>
          <w:tab w:val="right" w:pos="10546"/>
        </w:tabs>
        <w:jc w:val="both"/>
      </w:pPr>
      <w:r w:rsidRPr="009911EA">
        <w:t xml:space="preserve"> …………………………………………………………………………….…….. </w:t>
      </w:r>
      <w:r w:rsidR="003C7818" w:rsidRPr="009911EA">
        <w:tab/>
      </w:r>
    </w:p>
    <w:p w:rsidR="000272E3" w:rsidRPr="009911EA" w:rsidRDefault="000272E3" w:rsidP="00BC5DEB">
      <w:pPr>
        <w:spacing w:before="7" w:after="0" w:line="90" w:lineRule="exact"/>
      </w:pPr>
    </w:p>
    <w:tbl>
      <w:tblPr>
        <w:tblW w:w="10207" w:type="dxa"/>
        <w:tblInd w:w="-137" w:type="dxa"/>
        <w:tblLayout w:type="fixed"/>
        <w:tblCellMar>
          <w:left w:w="0" w:type="dxa"/>
          <w:right w:w="0" w:type="dxa"/>
        </w:tblCellMar>
        <w:tblLook w:val="01E0" w:firstRow="1" w:lastRow="1" w:firstColumn="1" w:lastColumn="1" w:noHBand="0" w:noVBand="0"/>
      </w:tblPr>
      <w:tblGrid>
        <w:gridCol w:w="3382"/>
        <w:gridCol w:w="6825"/>
      </w:tblGrid>
      <w:tr w:rsidR="000272E3" w:rsidRPr="009911EA" w:rsidTr="00CB13EB">
        <w:trPr>
          <w:trHeight w:hRule="exact" w:val="574"/>
        </w:trPr>
        <w:tc>
          <w:tcPr>
            <w:tcW w:w="3382" w:type="dxa"/>
            <w:tcBorders>
              <w:top w:val="single" w:sz="4" w:space="0" w:color="000000"/>
              <w:left w:val="single" w:sz="4" w:space="0" w:color="000000"/>
              <w:bottom w:val="single" w:sz="4" w:space="0" w:color="000000"/>
              <w:right w:val="single" w:sz="4" w:space="0" w:color="000000"/>
            </w:tcBorders>
          </w:tcPr>
          <w:p w:rsidR="000272E3" w:rsidRPr="009911EA" w:rsidRDefault="000272E3" w:rsidP="00D771FB">
            <w:pPr>
              <w:spacing w:before="2" w:after="0" w:line="140" w:lineRule="exact"/>
            </w:pPr>
          </w:p>
          <w:p w:rsidR="000272E3" w:rsidRPr="009911EA" w:rsidRDefault="000272E3" w:rsidP="00D771FB">
            <w:pPr>
              <w:spacing w:after="0" w:line="240" w:lineRule="auto"/>
              <w:ind w:left="102" w:right="-20"/>
            </w:pPr>
            <w:r w:rsidRPr="009911EA">
              <w:rPr>
                <w:spacing w:val="-3"/>
              </w:rPr>
              <w:t>İ</w:t>
            </w:r>
            <w:r w:rsidRPr="009911EA">
              <w:rPr>
                <w:spacing w:val="3"/>
              </w:rPr>
              <w:t>şl</w:t>
            </w:r>
            <w:r w:rsidRPr="009911EA">
              <w:rPr>
                <w:spacing w:val="-1"/>
              </w:rPr>
              <w:t>e</w:t>
            </w:r>
            <w:r w:rsidRPr="009911EA">
              <w:rPr>
                <w:spacing w:val="3"/>
              </w:rPr>
              <w:t>t</w:t>
            </w:r>
            <w:r w:rsidRPr="009911EA">
              <w:t>me</w:t>
            </w:r>
            <w:r w:rsidRPr="009911EA">
              <w:rPr>
                <w:spacing w:val="1"/>
              </w:rPr>
              <w:t xml:space="preserve"> </w:t>
            </w:r>
            <w:r w:rsidRPr="009911EA">
              <w:rPr>
                <w:spacing w:val="2"/>
              </w:rPr>
              <w:t>A</w:t>
            </w:r>
            <w:r w:rsidRPr="009911EA">
              <w:t>dı</w:t>
            </w:r>
          </w:p>
        </w:tc>
        <w:tc>
          <w:tcPr>
            <w:tcW w:w="6825" w:type="dxa"/>
            <w:tcBorders>
              <w:top w:val="single" w:sz="4" w:space="0" w:color="000000"/>
              <w:left w:val="single" w:sz="4" w:space="0" w:color="000000"/>
              <w:bottom w:val="single" w:sz="4" w:space="0" w:color="000000"/>
              <w:right w:val="single" w:sz="4" w:space="0" w:color="000000"/>
            </w:tcBorders>
          </w:tcPr>
          <w:p w:rsidR="000272E3" w:rsidRPr="009911EA" w:rsidRDefault="000272E3" w:rsidP="00D771FB"/>
        </w:tc>
      </w:tr>
      <w:tr w:rsidR="000272E3" w:rsidRPr="009911EA" w:rsidTr="00CB13EB">
        <w:trPr>
          <w:trHeight w:hRule="exact" w:val="571"/>
        </w:trPr>
        <w:tc>
          <w:tcPr>
            <w:tcW w:w="3382" w:type="dxa"/>
            <w:tcBorders>
              <w:top w:val="single" w:sz="4" w:space="0" w:color="000000"/>
              <w:left w:val="single" w:sz="4" w:space="0" w:color="000000"/>
              <w:bottom w:val="single" w:sz="4" w:space="0" w:color="000000"/>
              <w:right w:val="single" w:sz="4" w:space="0" w:color="000000"/>
            </w:tcBorders>
          </w:tcPr>
          <w:p w:rsidR="000272E3" w:rsidRPr="009911EA" w:rsidRDefault="000272E3" w:rsidP="00D771FB">
            <w:pPr>
              <w:spacing w:before="10" w:after="0" w:line="130" w:lineRule="exact"/>
            </w:pPr>
          </w:p>
          <w:p w:rsidR="000272E3" w:rsidRPr="009911EA" w:rsidRDefault="000272E3" w:rsidP="00D771FB">
            <w:pPr>
              <w:spacing w:after="0" w:line="240" w:lineRule="auto"/>
              <w:ind w:left="102" w:right="-20"/>
            </w:pPr>
            <w:r w:rsidRPr="009911EA">
              <w:rPr>
                <w:spacing w:val="3"/>
              </w:rPr>
              <w:t xml:space="preserve">Fakülte / </w:t>
            </w:r>
            <w:r w:rsidRPr="009911EA">
              <w:rPr>
                <w:spacing w:val="2"/>
              </w:rPr>
              <w:t xml:space="preserve"> Adı</w:t>
            </w:r>
          </w:p>
        </w:tc>
        <w:tc>
          <w:tcPr>
            <w:tcW w:w="6825" w:type="dxa"/>
            <w:tcBorders>
              <w:top w:val="single" w:sz="4" w:space="0" w:color="000000"/>
              <w:left w:val="single" w:sz="4" w:space="0" w:color="000000"/>
              <w:bottom w:val="single" w:sz="4" w:space="0" w:color="000000"/>
              <w:right w:val="single" w:sz="4" w:space="0" w:color="000000"/>
            </w:tcBorders>
          </w:tcPr>
          <w:p w:rsidR="000272E3" w:rsidRPr="009911EA" w:rsidRDefault="000272E3" w:rsidP="00D771FB">
            <w:pPr>
              <w:spacing w:before="10" w:after="0" w:line="130" w:lineRule="exact"/>
            </w:pPr>
          </w:p>
          <w:p w:rsidR="000272E3" w:rsidRPr="009911EA" w:rsidRDefault="000272E3" w:rsidP="00CB13EB">
            <w:pPr>
              <w:spacing w:after="0" w:line="240" w:lineRule="auto"/>
              <w:ind w:left="102" w:right="-20"/>
            </w:pPr>
            <w:r w:rsidRPr="009911EA">
              <w:t xml:space="preserve">BALIKESİR ÜNİVERSİTESİ </w:t>
            </w:r>
            <w:r w:rsidR="009F09A1" w:rsidRPr="009911EA">
              <w:t xml:space="preserve">FEN-EDEBİYAT </w:t>
            </w:r>
            <w:r w:rsidRPr="009911EA">
              <w:t>FAKÜLTESİ</w:t>
            </w:r>
          </w:p>
        </w:tc>
      </w:tr>
    </w:tbl>
    <w:p w:rsidR="00CB13EB" w:rsidRDefault="00CB13EB" w:rsidP="00BC5DEB">
      <w:pPr>
        <w:spacing w:after="0" w:line="200" w:lineRule="exact"/>
        <w:rPr>
          <w:sz w:val="16"/>
          <w:szCs w:val="16"/>
        </w:rPr>
      </w:pPr>
    </w:p>
    <w:p w:rsidR="00CB13EB" w:rsidRPr="009062E6" w:rsidRDefault="00CB13EB" w:rsidP="00BC5DEB">
      <w:pPr>
        <w:spacing w:after="0" w:line="200" w:lineRule="exact"/>
        <w:rPr>
          <w:sz w:val="16"/>
          <w:szCs w:val="16"/>
        </w:rPr>
      </w:pPr>
    </w:p>
    <w:tbl>
      <w:tblPr>
        <w:tblW w:w="10348" w:type="dxa"/>
        <w:tblInd w:w="-137" w:type="dxa"/>
        <w:tblLayout w:type="fixed"/>
        <w:tblCellMar>
          <w:left w:w="0" w:type="dxa"/>
          <w:right w:w="0" w:type="dxa"/>
        </w:tblCellMar>
        <w:tblLook w:val="01E0" w:firstRow="1" w:lastRow="1" w:firstColumn="1" w:lastColumn="1" w:noHBand="0" w:noVBand="0"/>
      </w:tblPr>
      <w:tblGrid>
        <w:gridCol w:w="2977"/>
        <w:gridCol w:w="3544"/>
        <w:gridCol w:w="3827"/>
      </w:tblGrid>
      <w:tr w:rsidR="00CB13EB" w:rsidRPr="009911EA" w:rsidTr="00036ED1">
        <w:trPr>
          <w:trHeight w:hRule="exact" w:val="927"/>
        </w:trPr>
        <w:tc>
          <w:tcPr>
            <w:tcW w:w="2977" w:type="dxa"/>
            <w:tcBorders>
              <w:top w:val="single" w:sz="4" w:space="0" w:color="000000"/>
              <w:left w:val="single" w:sz="4" w:space="0" w:color="000000"/>
              <w:bottom w:val="single" w:sz="4" w:space="0" w:color="000000"/>
              <w:right w:val="single" w:sz="4" w:space="0" w:color="000000"/>
            </w:tcBorders>
            <w:vAlign w:val="center"/>
          </w:tcPr>
          <w:p w:rsidR="00CB13EB" w:rsidRPr="00A71999" w:rsidRDefault="00CB13EB" w:rsidP="00CB13EB">
            <w:pPr>
              <w:spacing w:before="19" w:after="0" w:line="240" w:lineRule="auto"/>
              <w:ind w:right="990"/>
              <w:rPr>
                <w:b/>
              </w:rPr>
            </w:pPr>
            <w:r w:rsidRPr="00A71999">
              <w:rPr>
                <w:b/>
                <w:spacing w:val="-4"/>
              </w:rPr>
              <w:t>Ö</w:t>
            </w:r>
            <w:r w:rsidRPr="00A71999">
              <w:rPr>
                <w:b/>
                <w:spacing w:val="-3"/>
              </w:rPr>
              <w:t>ĞRE</w:t>
            </w:r>
            <w:r w:rsidRPr="00A71999">
              <w:rPr>
                <w:b/>
                <w:spacing w:val="-4"/>
              </w:rPr>
              <w:t>N</w:t>
            </w:r>
            <w:r w:rsidRPr="00A71999">
              <w:rPr>
                <w:b/>
                <w:spacing w:val="-3"/>
              </w:rPr>
              <w:t>C</w:t>
            </w:r>
            <w:r w:rsidRPr="00A71999">
              <w:rPr>
                <w:b/>
              </w:rPr>
              <w:t>İ</w:t>
            </w:r>
          </w:p>
        </w:tc>
        <w:tc>
          <w:tcPr>
            <w:tcW w:w="3544" w:type="dxa"/>
            <w:tcBorders>
              <w:top w:val="single" w:sz="4" w:space="0" w:color="000000"/>
              <w:left w:val="single" w:sz="4" w:space="0" w:color="000000"/>
              <w:bottom w:val="single" w:sz="4" w:space="0" w:color="000000"/>
              <w:right w:val="single" w:sz="4" w:space="0" w:color="000000"/>
            </w:tcBorders>
            <w:vAlign w:val="center"/>
          </w:tcPr>
          <w:p w:rsidR="00CB13EB" w:rsidRPr="00A71999" w:rsidRDefault="00CB13EB" w:rsidP="00A71999">
            <w:pPr>
              <w:spacing w:before="19" w:after="0" w:line="240" w:lineRule="auto"/>
              <w:ind w:left="369" w:right="-20"/>
              <w:rPr>
                <w:b/>
              </w:rPr>
            </w:pPr>
            <w:r w:rsidRPr="00A71999">
              <w:rPr>
                <w:b/>
                <w:spacing w:val="-6"/>
              </w:rPr>
              <w:t>İ</w:t>
            </w:r>
            <w:r w:rsidRPr="00A71999">
              <w:rPr>
                <w:b/>
                <w:spacing w:val="-3"/>
              </w:rPr>
              <w:t>Ş</w:t>
            </w:r>
            <w:r w:rsidRPr="00A71999">
              <w:rPr>
                <w:b/>
                <w:spacing w:val="-1"/>
              </w:rPr>
              <w:t>V</w:t>
            </w:r>
            <w:r w:rsidRPr="00A71999">
              <w:rPr>
                <w:b/>
                <w:spacing w:val="-3"/>
              </w:rPr>
              <w:t>ERE</w:t>
            </w:r>
            <w:r w:rsidRPr="00A71999">
              <w:rPr>
                <w:b/>
              </w:rPr>
              <w:t>N</w:t>
            </w:r>
            <w:r w:rsidRPr="00A71999">
              <w:rPr>
                <w:b/>
                <w:spacing w:val="-8"/>
              </w:rPr>
              <w:t xml:space="preserve"> </w:t>
            </w:r>
            <w:r w:rsidRPr="00A71999">
              <w:rPr>
                <w:b/>
                <w:spacing w:val="-1"/>
              </w:rPr>
              <w:t>V</w:t>
            </w:r>
            <w:r w:rsidRPr="00A71999">
              <w:rPr>
                <w:b/>
                <w:spacing w:val="-3"/>
              </w:rPr>
              <w:t>EY</w:t>
            </w:r>
            <w:r w:rsidRPr="00A71999">
              <w:rPr>
                <w:b/>
              </w:rPr>
              <w:t>A</w:t>
            </w:r>
            <w:r w:rsidRPr="00A71999">
              <w:rPr>
                <w:b/>
                <w:spacing w:val="-10"/>
              </w:rPr>
              <w:t xml:space="preserve"> </w:t>
            </w:r>
            <w:r w:rsidRPr="00A71999">
              <w:rPr>
                <w:b/>
                <w:spacing w:val="-1"/>
              </w:rPr>
              <w:t>V</w:t>
            </w:r>
            <w:r w:rsidRPr="00A71999">
              <w:rPr>
                <w:b/>
                <w:spacing w:val="-5"/>
              </w:rPr>
              <w:t>E</w:t>
            </w:r>
            <w:r w:rsidRPr="00A71999">
              <w:rPr>
                <w:b/>
                <w:spacing w:val="-1"/>
              </w:rPr>
              <w:t>K</w:t>
            </w:r>
            <w:r w:rsidRPr="00A71999">
              <w:rPr>
                <w:b/>
                <w:spacing w:val="-6"/>
              </w:rPr>
              <w:t>İ</w:t>
            </w:r>
            <w:r w:rsidRPr="00A71999">
              <w:rPr>
                <w:b/>
                <w:spacing w:val="-3"/>
              </w:rPr>
              <w:t>Lİ</w:t>
            </w:r>
          </w:p>
        </w:tc>
        <w:tc>
          <w:tcPr>
            <w:tcW w:w="3827" w:type="dxa"/>
            <w:tcBorders>
              <w:top w:val="single" w:sz="4" w:space="0" w:color="000000"/>
              <w:left w:val="single" w:sz="4" w:space="0" w:color="000000"/>
              <w:bottom w:val="single" w:sz="4" w:space="0" w:color="000000"/>
              <w:right w:val="single" w:sz="4" w:space="0" w:color="000000"/>
            </w:tcBorders>
            <w:vAlign w:val="center"/>
          </w:tcPr>
          <w:p w:rsidR="00CB13EB" w:rsidRPr="00CB13EB" w:rsidRDefault="00CB13EB" w:rsidP="00CB13EB">
            <w:pPr>
              <w:spacing w:before="19" w:after="0" w:line="240" w:lineRule="auto"/>
              <w:ind w:right="-20"/>
              <w:rPr>
                <w:b/>
                <w:spacing w:val="-6"/>
              </w:rPr>
            </w:pPr>
            <w:r w:rsidRPr="00CB13EB">
              <w:rPr>
                <w:b/>
                <w:spacing w:val="-6"/>
              </w:rPr>
              <w:t>FEN EDEBİYAT FAKÜLTESİ DEKANLIĞI ADINA  - DEKAN YARDIMCISI</w:t>
            </w:r>
          </w:p>
        </w:tc>
      </w:tr>
      <w:tr w:rsidR="00CB13EB" w:rsidRPr="009911EA" w:rsidTr="00036ED1">
        <w:trPr>
          <w:trHeight w:hRule="exact" w:val="997"/>
        </w:trPr>
        <w:tc>
          <w:tcPr>
            <w:tcW w:w="2977" w:type="dxa"/>
            <w:tcBorders>
              <w:top w:val="single" w:sz="4" w:space="0" w:color="000000"/>
              <w:left w:val="single" w:sz="4" w:space="0" w:color="000000"/>
              <w:bottom w:val="single" w:sz="4" w:space="0" w:color="000000"/>
              <w:right w:val="single" w:sz="4" w:space="0" w:color="000000"/>
            </w:tcBorders>
          </w:tcPr>
          <w:p w:rsidR="00CB13EB" w:rsidRPr="009911EA" w:rsidRDefault="00CB13EB" w:rsidP="00D771FB">
            <w:pPr>
              <w:spacing w:before="21" w:after="0" w:line="240" w:lineRule="auto"/>
              <w:ind w:left="102" w:right="-20"/>
            </w:pPr>
            <w:r w:rsidRPr="009911EA">
              <w:rPr>
                <w:spacing w:val="-3"/>
              </w:rPr>
              <w:t>A</w:t>
            </w:r>
            <w:r w:rsidRPr="009911EA">
              <w:rPr>
                <w:spacing w:val="-2"/>
              </w:rPr>
              <w:t>d</w:t>
            </w:r>
            <w:r w:rsidRPr="009911EA">
              <w:t>ı</w:t>
            </w:r>
            <w:r w:rsidRPr="009911EA">
              <w:rPr>
                <w:spacing w:val="-6"/>
              </w:rPr>
              <w:t xml:space="preserve"> </w:t>
            </w:r>
            <w:r w:rsidRPr="009911EA">
              <w:rPr>
                <w:spacing w:val="-3"/>
              </w:rPr>
              <w:t>S</w:t>
            </w:r>
            <w:r w:rsidRPr="009911EA">
              <w:rPr>
                <w:spacing w:val="-2"/>
              </w:rPr>
              <w:t>o</w:t>
            </w:r>
            <w:r w:rsidRPr="009911EA">
              <w:rPr>
                <w:spacing w:val="-5"/>
              </w:rPr>
              <w:t>y</w:t>
            </w:r>
            <w:r w:rsidRPr="009911EA">
              <w:rPr>
                <w:spacing w:val="-4"/>
              </w:rPr>
              <w:t>a</w:t>
            </w:r>
            <w:r w:rsidRPr="009911EA">
              <w:rPr>
                <w:spacing w:val="-2"/>
              </w:rPr>
              <w:t>d</w:t>
            </w:r>
            <w:r w:rsidRPr="009911EA">
              <w:rPr>
                <w:spacing w:val="-4"/>
              </w:rPr>
              <w:t>ı</w:t>
            </w:r>
            <w:r w:rsidRPr="009911EA">
              <w:t>:</w:t>
            </w:r>
          </w:p>
        </w:tc>
        <w:tc>
          <w:tcPr>
            <w:tcW w:w="3544" w:type="dxa"/>
            <w:tcBorders>
              <w:top w:val="single" w:sz="4" w:space="0" w:color="000000"/>
              <w:left w:val="single" w:sz="4" w:space="0" w:color="000000"/>
              <w:bottom w:val="single" w:sz="4" w:space="0" w:color="000000"/>
              <w:right w:val="single" w:sz="4" w:space="0" w:color="000000"/>
            </w:tcBorders>
          </w:tcPr>
          <w:p w:rsidR="00CB13EB" w:rsidRPr="009911EA" w:rsidRDefault="00CB13EB" w:rsidP="00D771FB">
            <w:pPr>
              <w:spacing w:before="21" w:after="0" w:line="240" w:lineRule="auto"/>
              <w:ind w:left="105" w:right="-20"/>
            </w:pPr>
            <w:r w:rsidRPr="009911EA">
              <w:rPr>
                <w:spacing w:val="-3"/>
              </w:rPr>
              <w:t>A</w:t>
            </w:r>
            <w:r w:rsidRPr="009911EA">
              <w:rPr>
                <w:spacing w:val="-2"/>
              </w:rPr>
              <w:t>d</w:t>
            </w:r>
            <w:r w:rsidRPr="009911EA">
              <w:t>ı</w:t>
            </w:r>
            <w:r w:rsidRPr="009911EA">
              <w:rPr>
                <w:spacing w:val="-6"/>
              </w:rPr>
              <w:t xml:space="preserve"> </w:t>
            </w:r>
            <w:r w:rsidRPr="009911EA">
              <w:rPr>
                <w:spacing w:val="-3"/>
              </w:rPr>
              <w:t>S</w:t>
            </w:r>
            <w:r w:rsidRPr="009911EA">
              <w:rPr>
                <w:spacing w:val="-2"/>
              </w:rPr>
              <w:t>o</w:t>
            </w:r>
            <w:r w:rsidRPr="009911EA">
              <w:rPr>
                <w:spacing w:val="-5"/>
              </w:rPr>
              <w:t>y</w:t>
            </w:r>
            <w:r w:rsidRPr="009911EA">
              <w:rPr>
                <w:spacing w:val="-4"/>
              </w:rPr>
              <w:t>a</w:t>
            </w:r>
            <w:r w:rsidRPr="009911EA">
              <w:rPr>
                <w:spacing w:val="-2"/>
              </w:rPr>
              <w:t>d</w:t>
            </w:r>
            <w:r w:rsidRPr="009911EA">
              <w:rPr>
                <w:spacing w:val="-4"/>
              </w:rPr>
              <w:t>ı</w:t>
            </w:r>
            <w:r w:rsidRPr="009911EA">
              <w:t>:</w:t>
            </w:r>
          </w:p>
        </w:tc>
        <w:tc>
          <w:tcPr>
            <w:tcW w:w="3827" w:type="dxa"/>
            <w:tcBorders>
              <w:top w:val="single" w:sz="4" w:space="0" w:color="000000"/>
              <w:left w:val="single" w:sz="4" w:space="0" w:color="000000"/>
              <w:bottom w:val="single" w:sz="4" w:space="0" w:color="000000"/>
              <w:right w:val="single" w:sz="4" w:space="0" w:color="000000"/>
            </w:tcBorders>
          </w:tcPr>
          <w:p w:rsidR="00CB13EB" w:rsidRPr="009911EA" w:rsidRDefault="00CB13EB" w:rsidP="009044BA">
            <w:pPr>
              <w:spacing w:before="21" w:after="0" w:line="240" w:lineRule="auto"/>
              <w:ind w:left="105" w:right="-20"/>
            </w:pPr>
            <w:r w:rsidRPr="009911EA">
              <w:rPr>
                <w:spacing w:val="-3"/>
              </w:rPr>
              <w:t>A</w:t>
            </w:r>
            <w:r w:rsidRPr="009911EA">
              <w:rPr>
                <w:spacing w:val="-2"/>
              </w:rPr>
              <w:t>d</w:t>
            </w:r>
            <w:r w:rsidRPr="009911EA">
              <w:t>ı</w:t>
            </w:r>
            <w:r w:rsidRPr="009911EA">
              <w:rPr>
                <w:spacing w:val="-6"/>
              </w:rPr>
              <w:t xml:space="preserve"> </w:t>
            </w:r>
            <w:r w:rsidRPr="009911EA">
              <w:rPr>
                <w:spacing w:val="-3"/>
              </w:rPr>
              <w:t>S</w:t>
            </w:r>
            <w:r w:rsidRPr="009911EA">
              <w:rPr>
                <w:spacing w:val="-2"/>
              </w:rPr>
              <w:t>o</w:t>
            </w:r>
            <w:r w:rsidRPr="009911EA">
              <w:rPr>
                <w:spacing w:val="-5"/>
              </w:rPr>
              <w:t>y</w:t>
            </w:r>
            <w:r w:rsidRPr="009911EA">
              <w:rPr>
                <w:spacing w:val="-4"/>
              </w:rPr>
              <w:t>a</w:t>
            </w:r>
            <w:r w:rsidRPr="009911EA">
              <w:rPr>
                <w:spacing w:val="-2"/>
              </w:rPr>
              <w:t>d</w:t>
            </w:r>
            <w:r w:rsidRPr="009911EA">
              <w:rPr>
                <w:spacing w:val="-4"/>
              </w:rPr>
              <w:t>ı</w:t>
            </w:r>
            <w:r w:rsidRPr="009911EA">
              <w:t>:</w:t>
            </w:r>
          </w:p>
        </w:tc>
      </w:tr>
      <w:tr w:rsidR="00CB13EB" w:rsidRPr="009911EA" w:rsidTr="00036ED1">
        <w:trPr>
          <w:trHeight w:hRule="exact" w:val="700"/>
        </w:trPr>
        <w:tc>
          <w:tcPr>
            <w:tcW w:w="2977" w:type="dxa"/>
            <w:vMerge w:val="restart"/>
            <w:tcBorders>
              <w:top w:val="single" w:sz="4" w:space="0" w:color="000000"/>
              <w:left w:val="single" w:sz="4" w:space="0" w:color="000000"/>
              <w:right w:val="single" w:sz="4" w:space="0" w:color="000000"/>
            </w:tcBorders>
          </w:tcPr>
          <w:p w:rsidR="00CB13EB" w:rsidRPr="009911EA" w:rsidRDefault="00CB13EB" w:rsidP="00D771FB">
            <w:pPr>
              <w:spacing w:before="4" w:after="0" w:line="120" w:lineRule="exact"/>
            </w:pPr>
          </w:p>
          <w:p w:rsidR="00CB13EB" w:rsidRPr="009911EA" w:rsidRDefault="00CB13EB" w:rsidP="00D771FB">
            <w:pPr>
              <w:spacing w:after="0" w:line="200" w:lineRule="exact"/>
            </w:pPr>
          </w:p>
          <w:p w:rsidR="00CB13EB" w:rsidRPr="009911EA" w:rsidRDefault="00CB13EB" w:rsidP="00D771FB">
            <w:pPr>
              <w:spacing w:after="0" w:line="200" w:lineRule="exact"/>
            </w:pPr>
          </w:p>
          <w:p w:rsidR="00CB13EB" w:rsidRPr="009911EA" w:rsidRDefault="00CB13EB" w:rsidP="00D771FB">
            <w:pPr>
              <w:spacing w:after="0" w:line="200" w:lineRule="exact"/>
            </w:pPr>
          </w:p>
          <w:p w:rsidR="00CB13EB" w:rsidRPr="009911EA" w:rsidRDefault="00CB13EB" w:rsidP="00D771FB">
            <w:pPr>
              <w:tabs>
                <w:tab w:val="left" w:pos="1420"/>
                <w:tab w:val="left" w:pos="2300"/>
              </w:tabs>
              <w:spacing w:after="0" w:line="240" w:lineRule="auto"/>
              <w:ind w:left="102" w:right="-20"/>
            </w:pPr>
            <w:r w:rsidRPr="009911EA">
              <w:rPr>
                <w:spacing w:val="-3"/>
              </w:rPr>
              <w:t>Tar</w:t>
            </w:r>
            <w:r w:rsidRPr="009911EA">
              <w:rPr>
                <w:spacing w:val="-2"/>
              </w:rPr>
              <w:t>i</w:t>
            </w:r>
            <w:r w:rsidRPr="009911EA">
              <w:t>h</w:t>
            </w:r>
            <w:r w:rsidRPr="009911EA">
              <w:rPr>
                <w:spacing w:val="-5"/>
              </w:rPr>
              <w:t xml:space="preserve"> </w:t>
            </w:r>
            <w:r w:rsidRPr="009911EA">
              <w:rPr>
                <w:u w:val="single" w:color="000000"/>
              </w:rPr>
              <w:t xml:space="preserve">   </w:t>
            </w:r>
            <w:r w:rsidRPr="009911EA">
              <w:rPr>
                <w:spacing w:val="-5"/>
                <w:u w:val="single" w:color="000000"/>
              </w:rPr>
              <w:t xml:space="preserve"> </w:t>
            </w:r>
            <w:r w:rsidRPr="009911EA">
              <w:rPr>
                <w:spacing w:val="-2"/>
              </w:rPr>
              <w:t>_/</w:t>
            </w:r>
            <w:r w:rsidRPr="009911EA">
              <w:rPr>
                <w:u w:val="single" w:color="000000"/>
              </w:rPr>
              <w:t xml:space="preserve"> </w:t>
            </w:r>
            <w:r w:rsidRPr="009911EA">
              <w:rPr>
                <w:u w:val="single" w:color="000000"/>
              </w:rPr>
              <w:tab/>
            </w:r>
            <w:r w:rsidRPr="009911EA">
              <w:rPr>
                <w:spacing w:val="-4"/>
              </w:rPr>
              <w:t>/</w:t>
            </w:r>
            <w:r w:rsidRPr="009911EA">
              <w:rPr>
                <w:u w:val="single" w:color="000000"/>
              </w:rPr>
              <w:t xml:space="preserve"> </w:t>
            </w:r>
            <w:r w:rsidRPr="009911EA">
              <w:rPr>
                <w:u w:val="single" w:color="000000"/>
              </w:rPr>
              <w:tab/>
            </w:r>
          </w:p>
        </w:tc>
        <w:tc>
          <w:tcPr>
            <w:tcW w:w="3544" w:type="dxa"/>
            <w:tcBorders>
              <w:top w:val="single" w:sz="4" w:space="0" w:color="000000"/>
              <w:left w:val="single" w:sz="4" w:space="0" w:color="000000"/>
              <w:bottom w:val="single" w:sz="4" w:space="0" w:color="000000"/>
              <w:right w:val="single" w:sz="4" w:space="0" w:color="000000"/>
            </w:tcBorders>
          </w:tcPr>
          <w:p w:rsidR="00CB13EB" w:rsidRPr="009911EA" w:rsidRDefault="00CB13EB" w:rsidP="00D771FB">
            <w:pPr>
              <w:tabs>
                <w:tab w:val="left" w:pos="1060"/>
              </w:tabs>
              <w:spacing w:before="19" w:after="0" w:line="240" w:lineRule="auto"/>
              <w:ind w:left="105" w:right="-20"/>
            </w:pPr>
            <w:r w:rsidRPr="009911EA">
              <w:rPr>
                <w:spacing w:val="-3"/>
              </w:rPr>
              <w:t>G</w:t>
            </w:r>
            <w:r w:rsidRPr="009911EA">
              <w:rPr>
                <w:spacing w:val="-2"/>
              </w:rPr>
              <w:t>ö</w:t>
            </w:r>
            <w:r w:rsidRPr="009911EA">
              <w:rPr>
                <w:spacing w:val="-4"/>
              </w:rPr>
              <w:t>r</w:t>
            </w:r>
            <w:r w:rsidRPr="009911EA">
              <w:rPr>
                <w:spacing w:val="-2"/>
              </w:rPr>
              <w:t>e</w:t>
            </w:r>
            <w:r w:rsidRPr="009911EA">
              <w:rPr>
                <w:spacing w:val="-5"/>
              </w:rPr>
              <w:t>v</w:t>
            </w:r>
            <w:r w:rsidRPr="009911EA">
              <w:t>i</w:t>
            </w:r>
            <w:r w:rsidRPr="009911EA">
              <w:tab/>
              <w:t>:</w:t>
            </w:r>
          </w:p>
        </w:tc>
        <w:tc>
          <w:tcPr>
            <w:tcW w:w="3827" w:type="dxa"/>
            <w:tcBorders>
              <w:top w:val="single" w:sz="4" w:space="0" w:color="000000"/>
              <w:left w:val="single" w:sz="4" w:space="0" w:color="000000"/>
              <w:bottom w:val="single" w:sz="4" w:space="0" w:color="000000"/>
              <w:right w:val="single" w:sz="4" w:space="0" w:color="000000"/>
            </w:tcBorders>
          </w:tcPr>
          <w:p w:rsidR="00CB13EB" w:rsidRPr="009911EA" w:rsidRDefault="00CB13EB" w:rsidP="009044BA">
            <w:pPr>
              <w:tabs>
                <w:tab w:val="left" w:pos="1060"/>
              </w:tabs>
              <w:spacing w:before="19" w:after="0" w:line="240" w:lineRule="auto"/>
              <w:ind w:left="105" w:right="-20"/>
            </w:pPr>
            <w:r w:rsidRPr="009911EA">
              <w:rPr>
                <w:spacing w:val="-3"/>
              </w:rPr>
              <w:t>G</w:t>
            </w:r>
            <w:r w:rsidRPr="009911EA">
              <w:rPr>
                <w:spacing w:val="-2"/>
              </w:rPr>
              <w:t>ö</w:t>
            </w:r>
            <w:r w:rsidRPr="009911EA">
              <w:rPr>
                <w:spacing w:val="-4"/>
              </w:rPr>
              <w:t>r</w:t>
            </w:r>
            <w:r w:rsidRPr="009911EA">
              <w:rPr>
                <w:spacing w:val="-2"/>
              </w:rPr>
              <w:t>e</w:t>
            </w:r>
            <w:r w:rsidRPr="009911EA">
              <w:rPr>
                <w:spacing w:val="-5"/>
              </w:rPr>
              <w:t>v</w:t>
            </w:r>
            <w:r w:rsidRPr="009911EA">
              <w:t>i</w:t>
            </w:r>
            <w:r w:rsidRPr="009911EA">
              <w:tab/>
              <w:t>:</w:t>
            </w:r>
            <w:r w:rsidR="00F10CDC">
              <w:t xml:space="preserve"> Dekan Yardımcısı</w:t>
            </w:r>
          </w:p>
        </w:tc>
      </w:tr>
      <w:tr w:rsidR="00CB13EB" w:rsidRPr="009911EA" w:rsidTr="00036ED1">
        <w:trPr>
          <w:trHeight w:hRule="exact" w:val="774"/>
        </w:trPr>
        <w:tc>
          <w:tcPr>
            <w:tcW w:w="2977" w:type="dxa"/>
            <w:vMerge/>
            <w:tcBorders>
              <w:left w:val="single" w:sz="4" w:space="0" w:color="000000"/>
              <w:bottom w:val="single" w:sz="4" w:space="0" w:color="000000"/>
              <w:right w:val="single" w:sz="4" w:space="0" w:color="000000"/>
            </w:tcBorders>
          </w:tcPr>
          <w:p w:rsidR="00CB13EB" w:rsidRPr="009911EA" w:rsidRDefault="00CB13EB" w:rsidP="00D771FB"/>
        </w:tc>
        <w:tc>
          <w:tcPr>
            <w:tcW w:w="3544" w:type="dxa"/>
            <w:tcBorders>
              <w:top w:val="single" w:sz="4" w:space="0" w:color="000000"/>
              <w:left w:val="single" w:sz="4" w:space="0" w:color="000000"/>
              <w:bottom w:val="single" w:sz="4" w:space="0" w:color="000000"/>
              <w:right w:val="single" w:sz="4" w:space="0" w:color="000000"/>
            </w:tcBorders>
          </w:tcPr>
          <w:p w:rsidR="00CB13EB" w:rsidRPr="009911EA" w:rsidRDefault="00CB13EB" w:rsidP="00D771FB">
            <w:pPr>
              <w:spacing w:before="4" w:after="0" w:line="280" w:lineRule="exact"/>
            </w:pPr>
          </w:p>
          <w:p w:rsidR="00CB13EB" w:rsidRPr="009911EA" w:rsidRDefault="00CB13EB" w:rsidP="00D771FB">
            <w:pPr>
              <w:tabs>
                <w:tab w:val="left" w:pos="1420"/>
                <w:tab w:val="left" w:pos="2300"/>
              </w:tabs>
              <w:spacing w:after="0" w:line="240" w:lineRule="auto"/>
              <w:ind w:left="105" w:right="-20"/>
            </w:pPr>
            <w:r w:rsidRPr="009911EA">
              <w:rPr>
                <w:spacing w:val="-3"/>
              </w:rPr>
              <w:t>Tar</w:t>
            </w:r>
            <w:r w:rsidRPr="009911EA">
              <w:rPr>
                <w:spacing w:val="-2"/>
              </w:rPr>
              <w:t>i</w:t>
            </w:r>
            <w:r w:rsidRPr="009911EA">
              <w:t>h</w:t>
            </w:r>
            <w:r w:rsidRPr="009911EA">
              <w:rPr>
                <w:spacing w:val="-5"/>
              </w:rPr>
              <w:t xml:space="preserve"> </w:t>
            </w:r>
            <w:r w:rsidRPr="009911EA">
              <w:rPr>
                <w:u w:val="single" w:color="000000"/>
              </w:rPr>
              <w:t xml:space="preserve">   </w:t>
            </w:r>
            <w:r w:rsidRPr="009911EA">
              <w:rPr>
                <w:spacing w:val="-5"/>
                <w:u w:val="single" w:color="000000"/>
              </w:rPr>
              <w:t xml:space="preserve"> </w:t>
            </w:r>
            <w:r w:rsidRPr="009911EA">
              <w:rPr>
                <w:spacing w:val="-2"/>
              </w:rPr>
              <w:t>_/</w:t>
            </w:r>
            <w:r w:rsidRPr="009911EA">
              <w:rPr>
                <w:u w:val="single" w:color="000000"/>
              </w:rPr>
              <w:t xml:space="preserve"> </w:t>
            </w:r>
            <w:r w:rsidRPr="009911EA">
              <w:rPr>
                <w:u w:val="single" w:color="000000"/>
              </w:rPr>
              <w:tab/>
            </w:r>
            <w:r w:rsidRPr="009911EA">
              <w:rPr>
                <w:spacing w:val="-4"/>
              </w:rPr>
              <w:t>/</w:t>
            </w:r>
            <w:r w:rsidRPr="009911EA">
              <w:rPr>
                <w:u w:val="single" w:color="000000"/>
              </w:rPr>
              <w:t xml:space="preserve"> </w:t>
            </w:r>
            <w:r w:rsidRPr="009911EA">
              <w:rPr>
                <w:u w:val="single" w:color="000000"/>
              </w:rPr>
              <w:tab/>
            </w:r>
          </w:p>
        </w:tc>
        <w:tc>
          <w:tcPr>
            <w:tcW w:w="3827" w:type="dxa"/>
            <w:tcBorders>
              <w:top w:val="single" w:sz="4" w:space="0" w:color="000000"/>
              <w:left w:val="single" w:sz="4" w:space="0" w:color="000000"/>
              <w:bottom w:val="single" w:sz="4" w:space="0" w:color="000000"/>
              <w:right w:val="single" w:sz="4" w:space="0" w:color="000000"/>
            </w:tcBorders>
          </w:tcPr>
          <w:p w:rsidR="00CB13EB" w:rsidRPr="009911EA" w:rsidRDefault="00CB13EB" w:rsidP="009044BA">
            <w:pPr>
              <w:spacing w:before="4" w:after="0" w:line="280" w:lineRule="exact"/>
            </w:pPr>
          </w:p>
          <w:p w:rsidR="00CB13EB" w:rsidRPr="009911EA" w:rsidRDefault="00CB13EB" w:rsidP="009044BA">
            <w:pPr>
              <w:tabs>
                <w:tab w:val="left" w:pos="1420"/>
                <w:tab w:val="left" w:pos="2300"/>
              </w:tabs>
              <w:spacing w:after="0" w:line="240" w:lineRule="auto"/>
              <w:ind w:left="105" w:right="-20"/>
            </w:pPr>
            <w:r w:rsidRPr="009911EA">
              <w:rPr>
                <w:spacing w:val="-3"/>
              </w:rPr>
              <w:t>Tar</w:t>
            </w:r>
            <w:r w:rsidRPr="009911EA">
              <w:rPr>
                <w:spacing w:val="-2"/>
              </w:rPr>
              <w:t>i</w:t>
            </w:r>
            <w:r w:rsidRPr="009911EA">
              <w:t>h</w:t>
            </w:r>
            <w:r w:rsidRPr="009911EA">
              <w:rPr>
                <w:spacing w:val="-5"/>
              </w:rPr>
              <w:t xml:space="preserve"> </w:t>
            </w:r>
            <w:r w:rsidRPr="009911EA">
              <w:rPr>
                <w:u w:val="single" w:color="000000"/>
              </w:rPr>
              <w:t xml:space="preserve">   </w:t>
            </w:r>
            <w:r w:rsidRPr="009911EA">
              <w:rPr>
                <w:spacing w:val="-5"/>
                <w:u w:val="single" w:color="000000"/>
              </w:rPr>
              <w:t xml:space="preserve"> </w:t>
            </w:r>
            <w:r w:rsidRPr="009911EA">
              <w:rPr>
                <w:spacing w:val="-2"/>
              </w:rPr>
              <w:t>_/</w:t>
            </w:r>
            <w:r w:rsidRPr="009911EA">
              <w:rPr>
                <w:u w:val="single" w:color="000000"/>
              </w:rPr>
              <w:t xml:space="preserve"> </w:t>
            </w:r>
            <w:r w:rsidRPr="009911EA">
              <w:rPr>
                <w:u w:val="single" w:color="000000"/>
              </w:rPr>
              <w:tab/>
            </w:r>
            <w:r w:rsidRPr="009911EA">
              <w:rPr>
                <w:spacing w:val="-4"/>
              </w:rPr>
              <w:t>/</w:t>
            </w:r>
            <w:r w:rsidRPr="009911EA">
              <w:rPr>
                <w:u w:val="single" w:color="000000"/>
              </w:rPr>
              <w:t xml:space="preserve"> </w:t>
            </w:r>
            <w:r w:rsidRPr="009911EA">
              <w:rPr>
                <w:u w:val="single" w:color="000000"/>
              </w:rPr>
              <w:tab/>
            </w:r>
          </w:p>
        </w:tc>
      </w:tr>
      <w:tr w:rsidR="00CB13EB" w:rsidRPr="009911EA" w:rsidTr="00036ED1">
        <w:trPr>
          <w:trHeight w:hRule="exact" w:val="2257"/>
        </w:trPr>
        <w:tc>
          <w:tcPr>
            <w:tcW w:w="2977" w:type="dxa"/>
            <w:tcBorders>
              <w:top w:val="single" w:sz="4" w:space="0" w:color="000000"/>
              <w:left w:val="single" w:sz="4" w:space="0" w:color="000000"/>
              <w:bottom w:val="single" w:sz="4" w:space="0" w:color="000000"/>
              <w:right w:val="single" w:sz="4" w:space="0" w:color="000000"/>
            </w:tcBorders>
          </w:tcPr>
          <w:p w:rsidR="00036ED1" w:rsidRDefault="00036ED1" w:rsidP="00D771FB">
            <w:pPr>
              <w:spacing w:after="0" w:line="240" w:lineRule="auto"/>
              <w:ind w:left="102" w:right="-20"/>
              <w:rPr>
                <w:spacing w:val="-6"/>
              </w:rPr>
            </w:pPr>
          </w:p>
          <w:p w:rsidR="00CB13EB" w:rsidRPr="009911EA" w:rsidRDefault="00CB13EB" w:rsidP="00D771FB">
            <w:pPr>
              <w:spacing w:after="0" w:line="240" w:lineRule="auto"/>
              <w:ind w:left="102" w:right="-20"/>
            </w:pPr>
            <w:r w:rsidRPr="009911EA">
              <w:rPr>
                <w:spacing w:val="-6"/>
              </w:rPr>
              <w:t>İ</w:t>
            </w:r>
            <w:r w:rsidRPr="009911EA">
              <w:rPr>
                <w:spacing w:val="-2"/>
              </w:rPr>
              <w:t>m</w:t>
            </w:r>
            <w:r w:rsidRPr="009911EA">
              <w:rPr>
                <w:spacing w:val="-1"/>
              </w:rPr>
              <w:t>z</w:t>
            </w:r>
            <w:r w:rsidRPr="009911EA">
              <w:t>a</w:t>
            </w:r>
          </w:p>
        </w:tc>
        <w:tc>
          <w:tcPr>
            <w:tcW w:w="3544" w:type="dxa"/>
            <w:tcBorders>
              <w:top w:val="single" w:sz="4" w:space="0" w:color="000000"/>
              <w:left w:val="single" w:sz="4" w:space="0" w:color="000000"/>
              <w:bottom w:val="single" w:sz="4" w:space="0" w:color="000000"/>
              <w:right w:val="single" w:sz="4" w:space="0" w:color="000000"/>
            </w:tcBorders>
          </w:tcPr>
          <w:p w:rsidR="00036ED1" w:rsidRDefault="00036ED1" w:rsidP="00D771FB">
            <w:pPr>
              <w:spacing w:after="0" w:line="240" w:lineRule="auto"/>
              <w:ind w:left="105" w:right="-20"/>
              <w:rPr>
                <w:spacing w:val="-6"/>
              </w:rPr>
            </w:pPr>
          </w:p>
          <w:p w:rsidR="00CB13EB" w:rsidRPr="009911EA" w:rsidRDefault="00CB13EB" w:rsidP="00D771FB">
            <w:pPr>
              <w:spacing w:after="0" w:line="240" w:lineRule="auto"/>
              <w:ind w:left="105" w:right="-20"/>
            </w:pPr>
            <w:r w:rsidRPr="009911EA">
              <w:rPr>
                <w:spacing w:val="-6"/>
              </w:rPr>
              <w:t>İ</w:t>
            </w:r>
            <w:r w:rsidRPr="009911EA">
              <w:rPr>
                <w:spacing w:val="-2"/>
              </w:rPr>
              <w:t>m</w:t>
            </w:r>
            <w:r w:rsidRPr="009911EA">
              <w:rPr>
                <w:spacing w:val="-1"/>
              </w:rPr>
              <w:t>z</w:t>
            </w:r>
            <w:r w:rsidRPr="009911EA">
              <w:rPr>
                <w:spacing w:val="-3"/>
              </w:rPr>
              <w:t>a-</w:t>
            </w:r>
            <w:r w:rsidRPr="009911EA">
              <w:rPr>
                <w:spacing w:val="-2"/>
              </w:rPr>
              <w:t>k</w:t>
            </w:r>
            <w:r w:rsidRPr="009911EA">
              <w:rPr>
                <w:spacing w:val="-3"/>
              </w:rPr>
              <w:t>a</w:t>
            </w:r>
            <w:r w:rsidRPr="009911EA">
              <w:rPr>
                <w:spacing w:val="-2"/>
              </w:rPr>
              <w:t>ş</w:t>
            </w:r>
            <w:r w:rsidRPr="009911EA">
              <w:t>e</w:t>
            </w:r>
          </w:p>
          <w:p w:rsidR="00CB13EB" w:rsidRPr="009911EA" w:rsidRDefault="00CB13EB" w:rsidP="00D771FB">
            <w:pPr>
              <w:spacing w:after="0" w:line="240" w:lineRule="auto"/>
              <w:ind w:left="105" w:right="-20"/>
            </w:pPr>
          </w:p>
          <w:p w:rsidR="00CB13EB" w:rsidRPr="009911EA" w:rsidRDefault="00CB13EB" w:rsidP="00D771FB">
            <w:pPr>
              <w:spacing w:after="0" w:line="240" w:lineRule="auto"/>
              <w:ind w:left="105" w:right="-20"/>
            </w:pPr>
          </w:p>
          <w:p w:rsidR="00CB13EB" w:rsidRPr="009911EA" w:rsidRDefault="00CB13EB" w:rsidP="00D771FB">
            <w:pPr>
              <w:spacing w:after="0" w:line="240" w:lineRule="auto"/>
              <w:ind w:left="105" w:right="-20"/>
            </w:pPr>
          </w:p>
          <w:p w:rsidR="00CB13EB" w:rsidRPr="009911EA" w:rsidRDefault="00CB13EB" w:rsidP="00D771FB">
            <w:pPr>
              <w:spacing w:after="0" w:line="240" w:lineRule="auto"/>
              <w:ind w:left="105" w:right="-20"/>
            </w:pPr>
          </w:p>
          <w:p w:rsidR="00CB13EB" w:rsidRPr="009911EA" w:rsidRDefault="00CB13EB" w:rsidP="00D771FB">
            <w:pPr>
              <w:spacing w:after="0" w:line="240" w:lineRule="auto"/>
              <w:ind w:left="105" w:right="-20"/>
            </w:pPr>
          </w:p>
        </w:tc>
        <w:tc>
          <w:tcPr>
            <w:tcW w:w="3827" w:type="dxa"/>
            <w:tcBorders>
              <w:top w:val="single" w:sz="4" w:space="0" w:color="000000"/>
              <w:left w:val="single" w:sz="4" w:space="0" w:color="000000"/>
              <w:bottom w:val="single" w:sz="4" w:space="0" w:color="000000"/>
              <w:right w:val="single" w:sz="4" w:space="0" w:color="000000"/>
            </w:tcBorders>
          </w:tcPr>
          <w:p w:rsidR="00036ED1" w:rsidRDefault="00036ED1" w:rsidP="00CB13EB">
            <w:pPr>
              <w:spacing w:after="0" w:line="240" w:lineRule="auto"/>
              <w:ind w:left="105" w:right="-20"/>
              <w:rPr>
                <w:spacing w:val="-6"/>
              </w:rPr>
            </w:pPr>
          </w:p>
          <w:p w:rsidR="00CB13EB" w:rsidRPr="009911EA" w:rsidRDefault="00CB13EB" w:rsidP="00CB13EB">
            <w:pPr>
              <w:spacing w:after="0" w:line="240" w:lineRule="auto"/>
              <w:ind w:left="105" w:right="-20"/>
            </w:pPr>
            <w:r w:rsidRPr="009911EA">
              <w:rPr>
                <w:spacing w:val="-6"/>
              </w:rPr>
              <w:t>İ</w:t>
            </w:r>
            <w:r w:rsidRPr="009911EA">
              <w:rPr>
                <w:spacing w:val="-2"/>
              </w:rPr>
              <w:t>m</w:t>
            </w:r>
            <w:r w:rsidRPr="009911EA">
              <w:rPr>
                <w:spacing w:val="-1"/>
              </w:rPr>
              <w:t>z</w:t>
            </w:r>
            <w:r w:rsidRPr="009911EA">
              <w:rPr>
                <w:spacing w:val="-3"/>
              </w:rPr>
              <w:t>a-</w:t>
            </w:r>
            <w:r w:rsidRPr="009911EA">
              <w:rPr>
                <w:spacing w:val="-2"/>
              </w:rPr>
              <w:t>k</w:t>
            </w:r>
            <w:r w:rsidRPr="009911EA">
              <w:rPr>
                <w:spacing w:val="-3"/>
              </w:rPr>
              <w:t>a</w:t>
            </w:r>
            <w:r w:rsidRPr="009911EA">
              <w:rPr>
                <w:spacing w:val="-2"/>
              </w:rPr>
              <w:t>ş</w:t>
            </w:r>
            <w:r w:rsidRPr="009911EA">
              <w:t>e</w:t>
            </w:r>
          </w:p>
          <w:p w:rsidR="00CB13EB" w:rsidRPr="009911EA" w:rsidRDefault="00CB13EB" w:rsidP="00D771FB">
            <w:pPr>
              <w:spacing w:after="0" w:line="240" w:lineRule="auto"/>
              <w:ind w:left="105" w:right="-20"/>
              <w:rPr>
                <w:spacing w:val="-6"/>
              </w:rPr>
            </w:pPr>
          </w:p>
        </w:tc>
      </w:tr>
    </w:tbl>
    <w:p w:rsidR="000272E3" w:rsidRPr="009911EA" w:rsidRDefault="000272E3" w:rsidP="003C7818"/>
    <w:sectPr w:rsidR="000272E3" w:rsidRPr="009911EA" w:rsidSect="005004AB">
      <w:headerReference w:type="even" r:id="rId7"/>
      <w:headerReference w:type="default" r:id="rId8"/>
      <w:footerReference w:type="even" r:id="rId9"/>
      <w:footerReference w:type="default" r:id="rId10"/>
      <w:headerReference w:type="first" r:id="rId11"/>
      <w:footerReference w:type="first" r:id="rId12"/>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37E" w:rsidRDefault="0006237E" w:rsidP="000F00FF">
      <w:pPr>
        <w:spacing w:after="0" w:line="240" w:lineRule="auto"/>
      </w:pPr>
      <w:r>
        <w:separator/>
      </w:r>
    </w:p>
  </w:endnote>
  <w:endnote w:type="continuationSeparator" w:id="0">
    <w:p w:rsidR="0006237E" w:rsidRDefault="0006237E" w:rsidP="000F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E3" w:rsidRDefault="000272E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E3" w:rsidRDefault="004A02A7" w:rsidP="00550206">
    <w:pPr>
      <w:pStyle w:val="AltBilgi"/>
    </w:pPr>
    <w:r>
      <w:rPr>
        <w:noProof/>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ge">
                <wp:align>center</wp:align>
              </wp:positionV>
              <wp:extent cx="7145655" cy="10123170"/>
              <wp:effectExtent l="0" t="0" r="0" b="0"/>
              <wp:wrapNone/>
              <wp:docPr id="1"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5655" cy="10123170"/>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8F2B86" id="Dikdörtgen 40" o:spid="_x0000_s1026" style="position:absolute;margin-left:0;margin-top:0;width:562.65pt;height:797.1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" filled="f" strokecolor="#938953" strokeweight="2pt">
              <w10:wrap anchorx="page" anchory="page"/>
            </v:rect>
          </w:pict>
        </mc:Fallback>
      </mc:AlternateContent>
    </w:r>
    <w:r w:rsidR="000272E3" w:rsidRPr="00550206">
      <w:rPr>
        <w:sz w:val="16"/>
        <w:szCs w:val="16"/>
      </w:rPr>
      <w:t>Bu sözleşme iki nüsha halinde düzenlenecek olup bir nüshası Dekanlıkta kalacak, bir nüsha staja başlarken stajyer öğrenci tarafından işyerine teslim edilecektir. Her sayfa işyeri, öğrenci ve Dekanlık tarafından paraflanacaktır</w:t>
    </w:r>
    <w:r w:rsidR="000272E3" w:rsidRPr="006A6241">
      <w:rPr>
        <w:color w:val="4F81BD"/>
        <w:sz w:val="18"/>
        <w:szCs w:val="18"/>
      </w:rPr>
      <w:t>.</w:t>
    </w:r>
    <w:r w:rsidR="000272E3">
      <w:rPr>
        <w:color w:val="4F81BD"/>
      </w:rPr>
      <w:t xml:space="preserve">   </w:t>
    </w:r>
    <w:r w:rsidR="000272E3">
      <w:rPr>
        <w:rFonts w:ascii="Arial" w:hAnsi="Arial"/>
        <w:color w:val="4F81BD"/>
      </w:rPr>
      <w:t xml:space="preserve">      </w:t>
    </w:r>
    <w:r w:rsidR="005A5BE3" w:rsidRPr="00377FE8">
      <w:rPr>
        <w:b/>
        <w:color w:val="4F81BD"/>
      </w:rPr>
      <w:fldChar w:fldCharType="begin"/>
    </w:r>
    <w:r w:rsidR="000272E3" w:rsidRPr="00377FE8">
      <w:rPr>
        <w:b/>
        <w:color w:val="4F81BD"/>
      </w:rPr>
      <w:instrText>PAGE    \* MERGEFORMAT</w:instrText>
    </w:r>
    <w:r w:rsidR="005A5BE3" w:rsidRPr="00377FE8">
      <w:rPr>
        <w:b/>
        <w:color w:val="4F81BD"/>
      </w:rPr>
      <w:fldChar w:fldCharType="separate"/>
    </w:r>
    <w:r w:rsidRPr="004A02A7">
      <w:rPr>
        <w:rFonts w:ascii="Arial" w:hAnsi="Arial"/>
        <w:b/>
        <w:noProof/>
        <w:color w:val="4F81BD"/>
      </w:rPr>
      <w:t>3</w:t>
    </w:r>
    <w:r w:rsidR="005A5BE3" w:rsidRPr="00377FE8">
      <w:rPr>
        <w:b/>
        <w:color w:val="4F81BD"/>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E3" w:rsidRDefault="000272E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37E" w:rsidRDefault="0006237E" w:rsidP="000F00FF">
      <w:pPr>
        <w:spacing w:after="0" w:line="240" w:lineRule="auto"/>
      </w:pPr>
      <w:r>
        <w:separator/>
      </w:r>
    </w:p>
  </w:footnote>
  <w:footnote w:type="continuationSeparator" w:id="0">
    <w:p w:rsidR="0006237E" w:rsidRDefault="0006237E" w:rsidP="000F0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E3" w:rsidRDefault="0006237E">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363969" o:spid="_x0000_s2049" type="#_x0000_t75" style="position:absolute;margin-left:0;margin-top:0;width:523.2pt;height:523.2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E3" w:rsidRPr="00D36DDC" w:rsidRDefault="00716D2E" w:rsidP="00D36DDC">
    <w:pPr>
      <w:pStyle w:val="stBilgi"/>
      <w:jc w:val="center"/>
      <w:rPr>
        <w:b/>
        <w:sz w:val="24"/>
        <w:szCs w:val="24"/>
      </w:rPr>
    </w:pPr>
    <w:r>
      <w:rPr>
        <w:noProof/>
      </w:rPr>
      <w:drawing>
        <wp:anchor distT="0" distB="0" distL="114300" distR="114300" simplePos="0" relativeHeight="251656192" behindDoc="0" locked="0" layoutInCell="1" allowOverlap="1" wp14:anchorId="64D75B54" wp14:editId="34D7A4F8">
          <wp:simplePos x="0" y="0"/>
          <wp:positionH relativeFrom="column">
            <wp:posOffset>-19050</wp:posOffset>
          </wp:positionH>
          <wp:positionV relativeFrom="paragraph">
            <wp:posOffset>-62230</wp:posOffset>
          </wp:positionV>
          <wp:extent cx="695325" cy="704850"/>
          <wp:effectExtent l="19050" t="0" r="9525" b="0"/>
          <wp:wrapNone/>
          <wp:docPr id="4" name="Resim 3" descr="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mblem"/>
                  <pic:cNvPicPr>
                    <a:picLocks noChangeAspect="1" noChangeArrowheads="1"/>
                  </pic:cNvPicPr>
                </pic:nvPicPr>
                <pic:blipFill>
                  <a:blip r:embed="rId1"/>
                  <a:srcRect/>
                  <a:stretch>
                    <a:fillRect/>
                  </a:stretch>
                </pic:blipFill>
                <pic:spPr bwMode="auto">
                  <a:xfrm>
                    <a:off x="0" y="0"/>
                    <a:ext cx="695325" cy="704850"/>
                  </a:xfrm>
                  <a:prstGeom prst="rect">
                    <a:avLst/>
                  </a:prstGeom>
                  <a:noFill/>
                </pic:spPr>
              </pic:pic>
            </a:graphicData>
          </a:graphic>
        </wp:anchor>
      </w:drawing>
    </w:r>
    <w:r w:rsidR="000272E3" w:rsidRPr="00D36DDC">
      <w:rPr>
        <w:b/>
        <w:sz w:val="24"/>
        <w:szCs w:val="24"/>
      </w:rPr>
      <w:t>T.C.</w:t>
    </w:r>
  </w:p>
  <w:p w:rsidR="000272E3" w:rsidRPr="00D36DDC" w:rsidRDefault="000272E3" w:rsidP="00D36DDC">
    <w:pPr>
      <w:pStyle w:val="stBilgi"/>
      <w:jc w:val="center"/>
      <w:rPr>
        <w:b/>
        <w:sz w:val="24"/>
        <w:szCs w:val="24"/>
      </w:rPr>
    </w:pPr>
    <w:r w:rsidRPr="00D36DDC">
      <w:rPr>
        <w:b/>
        <w:sz w:val="24"/>
        <w:szCs w:val="24"/>
      </w:rPr>
      <w:t>BALIKESİR ÜNİVERSİTESİ</w:t>
    </w:r>
  </w:p>
  <w:p w:rsidR="000272E3" w:rsidRPr="00D36DDC" w:rsidRDefault="0006225E" w:rsidP="006A6241">
    <w:pPr>
      <w:pStyle w:val="stBilgi"/>
      <w:jc w:val="center"/>
      <w:rPr>
        <w:b/>
        <w:sz w:val="24"/>
        <w:szCs w:val="24"/>
      </w:rPr>
    </w:pPr>
    <w:r>
      <w:rPr>
        <w:b/>
        <w:sz w:val="24"/>
        <w:szCs w:val="24"/>
      </w:rPr>
      <w:t xml:space="preserve">FEN-EDEBİYAT </w:t>
    </w:r>
    <w:r w:rsidR="000272E3">
      <w:rPr>
        <w:b/>
        <w:sz w:val="24"/>
        <w:szCs w:val="24"/>
      </w:rPr>
      <w:t>FAKÜLTESİ</w:t>
    </w:r>
  </w:p>
  <w:p w:rsidR="000272E3" w:rsidRPr="00D36DDC" w:rsidRDefault="0006237E" w:rsidP="00D36DDC">
    <w:pPr>
      <w:pStyle w:val="stBilgi"/>
      <w:jc w:val="center"/>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363970" o:spid="_x0000_s2050" type="#_x0000_t75" style="position:absolute;left:0;text-align:left;margin-left:-.1pt;margin-top:91.8pt;width:523.2pt;height:523.2pt;z-index:-251656192;mso-position-horizontal-relative:margin;mso-position-vertical-relative:margin" o:allowincell="f">
          <v:imagedata r:id="rId2" o:title="" gain="19661f" blacklevel="22938f"/>
          <w10:wrap anchorx="margin" anchory="margin"/>
        </v:shape>
      </w:pict>
    </w:r>
    <w:r w:rsidR="000272E3" w:rsidRPr="00D36DDC">
      <w:rPr>
        <w:b/>
        <w:sz w:val="24"/>
        <w:szCs w:val="24"/>
      </w:rPr>
      <w:t>İŞYERİ KABUL VE STAJ SÖZLEŞME FORMU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E3" w:rsidRDefault="0006237E">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363968" o:spid="_x0000_s2054" type="#_x0000_t75" style="position:absolute;margin-left:0;margin-top:0;width:523.2pt;height:523.2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CB"/>
    <w:rsid w:val="000007CC"/>
    <w:rsid w:val="000272E3"/>
    <w:rsid w:val="00036ED1"/>
    <w:rsid w:val="00044E51"/>
    <w:rsid w:val="0006225E"/>
    <w:rsid w:val="0006237E"/>
    <w:rsid w:val="000B3709"/>
    <w:rsid w:val="000B7B46"/>
    <w:rsid w:val="000C0E25"/>
    <w:rsid w:val="000D707F"/>
    <w:rsid w:val="000F00FF"/>
    <w:rsid w:val="000F3D6B"/>
    <w:rsid w:val="001033BE"/>
    <w:rsid w:val="001365DF"/>
    <w:rsid w:val="00143D51"/>
    <w:rsid w:val="001F69F1"/>
    <w:rsid w:val="00207EE5"/>
    <w:rsid w:val="0021774D"/>
    <w:rsid w:val="002A306E"/>
    <w:rsid w:val="002F67BE"/>
    <w:rsid w:val="00313CA8"/>
    <w:rsid w:val="00337BAB"/>
    <w:rsid w:val="00361ADD"/>
    <w:rsid w:val="00370CC1"/>
    <w:rsid w:val="00377FE8"/>
    <w:rsid w:val="003B3856"/>
    <w:rsid w:val="003C7818"/>
    <w:rsid w:val="003D05D7"/>
    <w:rsid w:val="003F2ECF"/>
    <w:rsid w:val="0040690B"/>
    <w:rsid w:val="004339D7"/>
    <w:rsid w:val="004650CB"/>
    <w:rsid w:val="004A02A7"/>
    <w:rsid w:val="004A0522"/>
    <w:rsid w:val="004B08AB"/>
    <w:rsid w:val="004B0CC5"/>
    <w:rsid w:val="004C68A7"/>
    <w:rsid w:val="004D3652"/>
    <w:rsid w:val="004F4694"/>
    <w:rsid w:val="005004AB"/>
    <w:rsid w:val="00511605"/>
    <w:rsid w:val="00530195"/>
    <w:rsid w:val="00550206"/>
    <w:rsid w:val="00565E23"/>
    <w:rsid w:val="00584258"/>
    <w:rsid w:val="005A5BE3"/>
    <w:rsid w:val="005A5C70"/>
    <w:rsid w:val="005C6E9F"/>
    <w:rsid w:val="00606435"/>
    <w:rsid w:val="0064131E"/>
    <w:rsid w:val="00684C44"/>
    <w:rsid w:val="00691350"/>
    <w:rsid w:val="006A6241"/>
    <w:rsid w:val="006A71FF"/>
    <w:rsid w:val="006E372E"/>
    <w:rsid w:val="006F313A"/>
    <w:rsid w:val="00716D2E"/>
    <w:rsid w:val="00756346"/>
    <w:rsid w:val="007828E2"/>
    <w:rsid w:val="007A457D"/>
    <w:rsid w:val="00843B5D"/>
    <w:rsid w:val="00856A88"/>
    <w:rsid w:val="008812B0"/>
    <w:rsid w:val="00893F92"/>
    <w:rsid w:val="008D6834"/>
    <w:rsid w:val="008E191F"/>
    <w:rsid w:val="009062E6"/>
    <w:rsid w:val="00907EAA"/>
    <w:rsid w:val="00981627"/>
    <w:rsid w:val="00986808"/>
    <w:rsid w:val="009911EA"/>
    <w:rsid w:val="009E78A3"/>
    <w:rsid w:val="009F09A1"/>
    <w:rsid w:val="00A223AB"/>
    <w:rsid w:val="00A30787"/>
    <w:rsid w:val="00A43FB1"/>
    <w:rsid w:val="00A47E85"/>
    <w:rsid w:val="00A55E36"/>
    <w:rsid w:val="00A71999"/>
    <w:rsid w:val="00AC66A8"/>
    <w:rsid w:val="00B00F25"/>
    <w:rsid w:val="00B019F1"/>
    <w:rsid w:val="00B0318A"/>
    <w:rsid w:val="00B10B62"/>
    <w:rsid w:val="00B16A68"/>
    <w:rsid w:val="00B567A1"/>
    <w:rsid w:val="00B66188"/>
    <w:rsid w:val="00B87E74"/>
    <w:rsid w:val="00BC13A3"/>
    <w:rsid w:val="00BC1CD7"/>
    <w:rsid w:val="00BC3D9C"/>
    <w:rsid w:val="00BC5DEB"/>
    <w:rsid w:val="00BF308F"/>
    <w:rsid w:val="00C06400"/>
    <w:rsid w:val="00C17E37"/>
    <w:rsid w:val="00C47D6D"/>
    <w:rsid w:val="00C50B51"/>
    <w:rsid w:val="00C51B80"/>
    <w:rsid w:val="00C710E2"/>
    <w:rsid w:val="00CA3E7A"/>
    <w:rsid w:val="00CB13EB"/>
    <w:rsid w:val="00CE06DF"/>
    <w:rsid w:val="00CF0DA1"/>
    <w:rsid w:val="00D158FD"/>
    <w:rsid w:val="00D36DDC"/>
    <w:rsid w:val="00D703D3"/>
    <w:rsid w:val="00D70D90"/>
    <w:rsid w:val="00D76AC6"/>
    <w:rsid w:val="00D771FB"/>
    <w:rsid w:val="00D82D8D"/>
    <w:rsid w:val="00D92436"/>
    <w:rsid w:val="00DA7348"/>
    <w:rsid w:val="00DC5138"/>
    <w:rsid w:val="00DF39E9"/>
    <w:rsid w:val="00E15056"/>
    <w:rsid w:val="00E24E1E"/>
    <w:rsid w:val="00E31A96"/>
    <w:rsid w:val="00E50CD2"/>
    <w:rsid w:val="00EC5859"/>
    <w:rsid w:val="00F10CDC"/>
    <w:rsid w:val="00F115E6"/>
    <w:rsid w:val="00F120C9"/>
    <w:rsid w:val="00F261D6"/>
    <w:rsid w:val="00F4001D"/>
    <w:rsid w:val="00F52318"/>
    <w:rsid w:val="00F5717B"/>
    <w:rsid w:val="00F72FF7"/>
    <w:rsid w:val="00F84A1C"/>
    <w:rsid w:val="00FA6C67"/>
    <w:rsid w:val="00FF1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5C90371"/>
  <w15:docId w15:val="{6C817610-86C5-43A1-8A49-7DC1D99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627"/>
    <w:pPr>
      <w:spacing w:after="200" w:line="276" w:lineRule="auto"/>
    </w:pPr>
    <w:rPr>
      <w:lang w:eastAsia="en-US"/>
    </w:rPr>
  </w:style>
  <w:style w:type="paragraph" w:styleId="Balk1">
    <w:name w:val="heading 1"/>
    <w:basedOn w:val="Normal"/>
    <w:link w:val="Balk1Char"/>
    <w:uiPriority w:val="1"/>
    <w:qFormat/>
    <w:locked/>
    <w:rsid w:val="00B567A1"/>
    <w:pPr>
      <w:widowControl w:val="0"/>
      <w:autoSpaceDE w:val="0"/>
      <w:autoSpaceDN w:val="0"/>
      <w:spacing w:after="0" w:line="240" w:lineRule="auto"/>
      <w:ind w:left="313"/>
      <w:outlineLvl w:val="0"/>
    </w:pPr>
    <w:rPr>
      <w:b/>
      <w:bCs/>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F00FF"/>
    <w:pPr>
      <w:tabs>
        <w:tab w:val="center" w:pos="4536"/>
        <w:tab w:val="right" w:pos="9072"/>
      </w:tabs>
      <w:spacing w:after="0" w:line="240" w:lineRule="auto"/>
    </w:pPr>
    <w:rPr>
      <w:sz w:val="20"/>
      <w:szCs w:val="20"/>
      <w:lang w:eastAsia="tr-TR"/>
    </w:rPr>
  </w:style>
  <w:style w:type="character" w:customStyle="1" w:styleId="stBilgiChar">
    <w:name w:val="Üst Bilgi Char"/>
    <w:basedOn w:val="VarsaylanParagrafYazTipi"/>
    <w:link w:val="stBilgi"/>
    <w:uiPriority w:val="99"/>
    <w:locked/>
    <w:rsid w:val="000F00FF"/>
    <w:rPr>
      <w:rFonts w:cs="Times New Roman"/>
    </w:rPr>
  </w:style>
  <w:style w:type="paragraph" w:styleId="AltBilgi">
    <w:name w:val="footer"/>
    <w:basedOn w:val="Normal"/>
    <w:link w:val="AltBilgiChar"/>
    <w:uiPriority w:val="99"/>
    <w:rsid w:val="000F00FF"/>
    <w:pPr>
      <w:tabs>
        <w:tab w:val="center" w:pos="4536"/>
        <w:tab w:val="right" w:pos="9072"/>
      </w:tabs>
      <w:spacing w:after="0" w:line="240" w:lineRule="auto"/>
    </w:pPr>
    <w:rPr>
      <w:sz w:val="20"/>
      <w:szCs w:val="20"/>
      <w:lang w:eastAsia="tr-TR"/>
    </w:rPr>
  </w:style>
  <w:style w:type="character" w:customStyle="1" w:styleId="AltBilgiChar">
    <w:name w:val="Alt Bilgi Char"/>
    <w:basedOn w:val="VarsaylanParagrafYazTipi"/>
    <w:link w:val="AltBilgi"/>
    <w:uiPriority w:val="99"/>
    <w:locked/>
    <w:rsid w:val="000F00FF"/>
    <w:rPr>
      <w:rFonts w:cs="Times New Roman"/>
    </w:rPr>
  </w:style>
  <w:style w:type="paragraph" w:styleId="BalonMetni">
    <w:name w:val="Balloon Text"/>
    <w:basedOn w:val="Normal"/>
    <w:link w:val="BalonMetniChar"/>
    <w:uiPriority w:val="99"/>
    <w:semiHidden/>
    <w:rsid w:val="000F00FF"/>
    <w:pPr>
      <w:spacing w:after="0" w:line="240" w:lineRule="auto"/>
    </w:pPr>
    <w:rPr>
      <w:rFonts w:ascii="Tahoma" w:hAnsi="Tahoma"/>
      <w:sz w:val="16"/>
      <w:szCs w:val="16"/>
      <w:lang w:eastAsia="tr-TR"/>
    </w:rPr>
  </w:style>
  <w:style w:type="character" w:customStyle="1" w:styleId="BalonMetniChar">
    <w:name w:val="Balon Metni Char"/>
    <w:basedOn w:val="VarsaylanParagrafYazTipi"/>
    <w:link w:val="BalonMetni"/>
    <w:uiPriority w:val="99"/>
    <w:semiHidden/>
    <w:locked/>
    <w:rsid w:val="000F00FF"/>
    <w:rPr>
      <w:rFonts w:ascii="Tahoma" w:hAnsi="Tahoma" w:cs="Times New Roman"/>
      <w:sz w:val="16"/>
    </w:rPr>
  </w:style>
  <w:style w:type="paragraph" w:styleId="GvdeMetni">
    <w:name w:val="Body Text"/>
    <w:basedOn w:val="Normal"/>
    <w:link w:val="GvdeMetniChar"/>
    <w:uiPriority w:val="1"/>
    <w:qFormat/>
    <w:rsid w:val="002F67BE"/>
    <w:pPr>
      <w:widowControl w:val="0"/>
      <w:autoSpaceDE w:val="0"/>
      <w:autoSpaceDN w:val="0"/>
      <w:spacing w:after="0" w:line="240" w:lineRule="auto"/>
    </w:pPr>
    <w:rPr>
      <w:lang w:eastAsia="tr-TR" w:bidi="tr-TR"/>
    </w:rPr>
  </w:style>
  <w:style w:type="character" w:customStyle="1" w:styleId="GvdeMetniChar">
    <w:name w:val="Gövde Metni Char"/>
    <w:basedOn w:val="VarsaylanParagrafYazTipi"/>
    <w:link w:val="GvdeMetni"/>
    <w:uiPriority w:val="1"/>
    <w:rsid w:val="002F67BE"/>
    <w:rPr>
      <w:lang w:bidi="tr-TR"/>
    </w:rPr>
  </w:style>
  <w:style w:type="character" w:customStyle="1" w:styleId="Balk1Char">
    <w:name w:val="Başlık 1 Char"/>
    <w:basedOn w:val="VarsaylanParagrafYazTipi"/>
    <w:link w:val="Balk1"/>
    <w:uiPriority w:val="1"/>
    <w:rsid w:val="00B567A1"/>
    <w:rPr>
      <w:b/>
      <w:bCs/>
      <w:lang w:bidi="tr-TR"/>
    </w:rPr>
  </w:style>
  <w:style w:type="table" w:styleId="TabloKlavuzu">
    <w:name w:val="Table Grid"/>
    <w:basedOn w:val="NormalTablo"/>
    <w:locked/>
    <w:rsid w:val="00B567A1"/>
    <w:pPr>
      <w:widowControl w:val="0"/>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911EA"/>
    <w:pPr>
      <w:spacing w:after="0" w:line="240" w:lineRule="auto"/>
      <w:ind w:left="720"/>
      <w:contextualSpacing/>
      <w:jc w:val="center"/>
    </w:pPr>
    <w:rPr>
      <w:sz w:val="20"/>
      <w:szCs w:val="20"/>
      <w:lang w:val="en-US"/>
    </w:rPr>
  </w:style>
  <w:style w:type="character" w:styleId="Kpr">
    <w:name w:val="Hyperlink"/>
    <w:basedOn w:val="VarsaylanParagrafYazTipi"/>
    <w:uiPriority w:val="99"/>
    <w:semiHidden/>
    <w:unhideWhenUsed/>
    <w:rsid w:val="006E3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likesir.edu.tr/site/birim/fen-edebiyat-fakultesi-10426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GENEL HÜKÜMLER</vt:lpstr>
    </vt:vector>
  </TitlesOfParts>
  <Company>-=[By NeC]=-</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HÜKÜMLER</dc:title>
  <dc:creator>Ormancı</dc:creator>
  <cp:lastModifiedBy>User</cp:lastModifiedBy>
  <cp:revision>2</cp:revision>
  <cp:lastPrinted>2022-03-11T12:58:00Z</cp:lastPrinted>
  <dcterms:created xsi:type="dcterms:W3CDTF">2025-02-06T20:22:00Z</dcterms:created>
  <dcterms:modified xsi:type="dcterms:W3CDTF">2025-02-06T20:22:00Z</dcterms:modified>
</cp:coreProperties>
</file>